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A97E0" w14:textId="12E3687D" w:rsidR="00F9041C" w:rsidRPr="00680604" w:rsidRDefault="00F9041C" w:rsidP="007A405D">
      <w:pPr>
        <w:jc w:val="center"/>
        <w:rPr>
          <w:rFonts w:ascii="Times New Roman" w:hAnsi="Times New Roman" w:cs="Times New Roman"/>
          <w:b/>
          <w:sz w:val="32"/>
          <w:szCs w:val="32"/>
        </w:rPr>
      </w:pPr>
      <w:r w:rsidRPr="00680604">
        <w:rPr>
          <w:rFonts w:ascii="Times New Roman" w:hAnsi="Times New Roman" w:cs="Times New Roman"/>
          <w:b/>
          <w:sz w:val="32"/>
          <w:szCs w:val="32"/>
        </w:rPr>
        <w:t xml:space="preserve">Professor of Teaching </w:t>
      </w:r>
    </w:p>
    <w:p w14:paraId="695145EA" w14:textId="51B345AA" w:rsidR="007A405D" w:rsidRPr="00680604" w:rsidRDefault="007A405D" w:rsidP="007A405D">
      <w:pPr>
        <w:jc w:val="center"/>
        <w:rPr>
          <w:rFonts w:ascii="Times New Roman" w:hAnsi="Times New Roman" w:cs="Times New Roman"/>
          <w:b/>
          <w:sz w:val="32"/>
          <w:szCs w:val="32"/>
        </w:rPr>
      </w:pPr>
      <w:r w:rsidRPr="00680604">
        <w:rPr>
          <w:rFonts w:ascii="Times New Roman" w:hAnsi="Times New Roman" w:cs="Times New Roman"/>
          <w:b/>
          <w:sz w:val="32"/>
          <w:szCs w:val="32"/>
        </w:rPr>
        <w:t>Promotion and Tenure</w:t>
      </w:r>
      <w:r w:rsidR="00BA1EBC">
        <w:rPr>
          <w:rFonts w:ascii="Times New Roman" w:hAnsi="Times New Roman" w:cs="Times New Roman"/>
          <w:b/>
          <w:sz w:val="32"/>
          <w:szCs w:val="32"/>
        </w:rPr>
        <w:t xml:space="preserve"> Policies</w:t>
      </w:r>
    </w:p>
    <w:p w14:paraId="6DF3FE2B" w14:textId="77777777" w:rsidR="001E2586" w:rsidRPr="00680604" w:rsidRDefault="007A405D" w:rsidP="007A405D">
      <w:pPr>
        <w:jc w:val="center"/>
        <w:rPr>
          <w:rFonts w:ascii="Times New Roman" w:hAnsi="Times New Roman" w:cs="Times New Roman"/>
          <w:b/>
          <w:sz w:val="32"/>
          <w:szCs w:val="32"/>
        </w:rPr>
      </w:pPr>
      <w:r w:rsidRPr="00680604">
        <w:rPr>
          <w:rFonts w:ascii="Times New Roman" w:hAnsi="Times New Roman" w:cs="Times New Roman"/>
          <w:b/>
          <w:sz w:val="32"/>
          <w:szCs w:val="32"/>
        </w:rPr>
        <w:t xml:space="preserve">School of Biological Sciences </w:t>
      </w:r>
    </w:p>
    <w:p w14:paraId="446AA17F" w14:textId="6FB2D628" w:rsidR="007A405D" w:rsidRPr="00680604" w:rsidRDefault="00BA1EBC" w:rsidP="007A405D">
      <w:pPr>
        <w:jc w:val="center"/>
        <w:rPr>
          <w:rFonts w:ascii="Times New Roman" w:hAnsi="Times New Roman" w:cs="Times New Roman"/>
          <w:b/>
          <w:sz w:val="32"/>
          <w:szCs w:val="32"/>
        </w:rPr>
      </w:pPr>
      <w:r>
        <w:rPr>
          <w:rFonts w:ascii="Times New Roman" w:hAnsi="Times New Roman" w:cs="Times New Roman"/>
          <w:b/>
          <w:sz w:val="32"/>
          <w:szCs w:val="32"/>
        </w:rPr>
        <w:t>Revised August 2022</w:t>
      </w:r>
    </w:p>
    <w:p w14:paraId="49C251F0" w14:textId="77777777" w:rsidR="00680604" w:rsidRPr="00680604" w:rsidRDefault="00680604" w:rsidP="007A405D">
      <w:pPr>
        <w:jc w:val="center"/>
        <w:rPr>
          <w:rFonts w:ascii="Times New Roman" w:hAnsi="Times New Roman" w:cs="Times New Roman"/>
          <w:b/>
          <w:sz w:val="32"/>
          <w:szCs w:val="32"/>
        </w:rPr>
      </w:pPr>
    </w:p>
    <w:p w14:paraId="51BDCE1D" w14:textId="77777777" w:rsidR="00A3253B" w:rsidRPr="003D196C" w:rsidRDefault="00A3253B" w:rsidP="007A405D">
      <w:pPr>
        <w:rPr>
          <w:rFonts w:ascii="Times New Roman" w:hAnsi="Times New Roman" w:cs="Times New Roman"/>
        </w:rPr>
      </w:pPr>
    </w:p>
    <w:p w14:paraId="36E87BA8" w14:textId="397A515D" w:rsidR="00A3253B" w:rsidRPr="0074476B" w:rsidRDefault="0074476B" w:rsidP="00987C1C">
      <w:pPr>
        <w:pStyle w:val="ListParagraph"/>
        <w:ind w:left="0"/>
        <w:rPr>
          <w:rFonts w:cs="Times New Roman"/>
          <w:b/>
          <w:bCs/>
          <w:color w:val="000000" w:themeColor="text1"/>
        </w:rPr>
      </w:pPr>
      <w:r>
        <w:rPr>
          <w:rFonts w:cs="Times New Roman"/>
          <w:b/>
          <w:bCs/>
          <w:color w:val="000000" w:themeColor="text1"/>
        </w:rPr>
        <w:t xml:space="preserve">(1) </w:t>
      </w:r>
      <w:r w:rsidR="00A3253B" w:rsidRPr="0074476B">
        <w:rPr>
          <w:rFonts w:cs="Times New Roman"/>
          <w:b/>
          <w:bCs/>
          <w:color w:val="000000" w:themeColor="text1"/>
        </w:rPr>
        <w:t>Overview of Policies</w:t>
      </w:r>
    </w:p>
    <w:p w14:paraId="4C789148" w14:textId="77777777" w:rsidR="00A3253B" w:rsidRPr="006D59FC" w:rsidRDefault="00A3253B" w:rsidP="00987C1C">
      <w:pPr>
        <w:pStyle w:val="ListParagraph"/>
        <w:ind w:left="0"/>
        <w:rPr>
          <w:rFonts w:cs="Times New Roman"/>
          <w:color w:val="000000" w:themeColor="text1"/>
        </w:rPr>
      </w:pPr>
    </w:p>
    <w:p w14:paraId="0A39B831" w14:textId="72A5B1FC" w:rsidR="007A405D" w:rsidRPr="000919CD" w:rsidRDefault="00491A9D" w:rsidP="00987C1C">
      <w:pPr>
        <w:rPr>
          <w:rFonts w:cs="Times New Roman"/>
          <w:b/>
          <w:bCs/>
          <w:i/>
          <w:iCs/>
          <w:color w:val="000000" w:themeColor="text1"/>
        </w:rPr>
      </w:pPr>
      <w:r>
        <w:rPr>
          <w:rFonts w:ascii="Times New Roman" w:hAnsi="Times New Roman" w:cs="Times New Roman"/>
          <w:b/>
          <w:bCs/>
          <w:i/>
          <w:iCs/>
          <w:color w:val="000000" w:themeColor="text1"/>
        </w:rPr>
        <w:t>Allocation of effort</w:t>
      </w:r>
      <w:r w:rsidR="00A3253B" w:rsidRPr="006D59FC">
        <w:rPr>
          <w:rFonts w:ascii="Times New Roman" w:hAnsi="Times New Roman" w:cs="Times New Roman"/>
          <w:b/>
          <w:bCs/>
          <w:i/>
          <w:iCs/>
          <w:color w:val="000000" w:themeColor="text1"/>
        </w:rPr>
        <w:t xml:space="preserve">. </w:t>
      </w:r>
      <w:r w:rsidR="007A405D" w:rsidRPr="006D59FC">
        <w:rPr>
          <w:rFonts w:ascii="Times New Roman" w:hAnsi="Times New Roman" w:cs="Times New Roman"/>
          <w:color w:val="000000" w:themeColor="text1"/>
        </w:rPr>
        <w:t xml:space="preserve">In line with the APM indicating </w:t>
      </w:r>
      <w:r w:rsidR="007A405D" w:rsidRPr="006D59FC">
        <w:rPr>
          <w:rFonts w:ascii="Times New Roman" w:hAnsi="Times New Roman" w:cs="Times New Roman"/>
          <w:i/>
          <w:color w:val="000000" w:themeColor="text1"/>
        </w:rPr>
        <w:t>“</w:t>
      </w:r>
      <w:r w:rsidR="00984BB5" w:rsidRPr="006D59FC">
        <w:rPr>
          <w:rFonts w:ascii="Times New Roman" w:hAnsi="Times New Roman" w:cs="Times New Roman"/>
          <w:i/>
          <w:color w:val="000000" w:themeColor="text1"/>
        </w:rPr>
        <w:t>an appointee in this series will regularly carry a heavier load of teaching than appointees in the professorial series</w:t>
      </w:r>
      <w:r w:rsidR="00984BB5" w:rsidRPr="006D59FC">
        <w:rPr>
          <w:rFonts w:ascii="Times New Roman" w:hAnsi="Times New Roman" w:cs="Times New Roman"/>
          <w:color w:val="000000" w:themeColor="text1"/>
        </w:rPr>
        <w:t>.</w:t>
      </w:r>
      <w:r w:rsidR="007A405D" w:rsidRPr="006D59FC">
        <w:rPr>
          <w:rFonts w:ascii="Times New Roman" w:hAnsi="Times New Roman" w:cs="Times New Roman"/>
          <w:i/>
          <w:color w:val="000000" w:themeColor="text1"/>
        </w:rPr>
        <w:t>”</w:t>
      </w:r>
      <w:r w:rsidR="007A405D" w:rsidRPr="006D59FC">
        <w:rPr>
          <w:rFonts w:ascii="Times New Roman" w:hAnsi="Times New Roman" w:cs="Times New Roman"/>
          <w:color w:val="000000" w:themeColor="text1"/>
        </w:rPr>
        <w:t xml:space="preserve"> we recommend the following ranges as appropriate for </w:t>
      </w:r>
      <w:r w:rsidR="007A405D" w:rsidRPr="000919CD">
        <w:rPr>
          <w:rFonts w:ascii="Times New Roman" w:hAnsi="Times New Roman" w:cs="Times New Roman"/>
          <w:color w:val="000000" w:themeColor="text1"/>
        </w:rPr>
        <w:t>our School, and specific weighting within the following ranges should be determined for each individual/Department. Teaching: (</w:t>
      </w:r>
      <w:r w:rsidR="0041672E" w:rsidRPr="000919CD">
        <w:rPr>
          <w:rFonts w:ascii="Times New Roman" w:hAnsi="Times New Roman" w:cs="Times New Roman"/>
          <w:color w:val="000000" w:themeColor="text1"/>
        </w:rPr>
        <w:t>50</w:t>
      </w:r>
      <w:r w:rsidR="007A405D" w:rsidRPr="000919CD">
        <w:rPr>
          <w:rFonts w:ascii="Times New Roman" w:hAnsi="Times New Roman" w:cs="Times New Roman"/>
          <w:color w:val="000000" w:themeColor="text1"/>
        </w:rPr>
        <w:t>-</w:t>
      </w:r>
      <w:r w:rsidR="00DC0098" w:rsidRPr="000919CD">
        <w:rPr>
          <w:rFonts w:ascii="Times New Roman" w:hAnsi="Times New Roman" w:cs="Times New Roman"/>
          <w:color w:val="000000" w:themeColor="text1"/>
        </w:rPr>
        <w:t>70</w:t>
      </w:r>
      <w:r w:rsidR="007A405D" w:rsidRPr="000919CD">
        <w:rPr>
          <w:rFonts w:ascii="Times New Roman" w:hAnsi="Times New Roman" w:cs="Times New Roman"/>
          <w:color w:val="000000" w:themeColor="text1"/>
        </w:rPr>
        <w:t xml:space="preserve">%); </w:t>
      </w:r>
      <w:r w:rsidR="00D5489C" w:rsidRPr="000919CD">
        <w:rPr>
          <w:rFonts w:ascii="Times New Roman" w:hAnsi="Times New Roman" w:cs="Times New Roman"/>
          <w:color w:val="000000" w:themeColor="text1"/>
        </w:rPr>
        <w:t>Research</w:t>
      </w:r>
      <w:r w:rsidR="00A82BF8" w:rsidRPr="000919CD">
        <w:rPr>
          <w:rFonts w:ascii="Times New Roman" w:hAnsi="Times New Roman" w:cs="Times New Roman"/>
          <w:color w:val="000000" w:themeColor="text1"/>
        </w:rPr>
        <w:t>/</w:t>
      </w:r>
      <w:r w:rsidR="00D5489C" w:rsidRPr="000919CD">
        <w:rPr>
          <w:rFonts w:ascii="Times New Roman" w:hAnsi="Times New Roman" w:cs="Times New Roman"/>
          <w:color w:val="000000" w:themeColor="text1"/>
        </w:rPr>
        <w:t>Creative</w:t>
      </w:r>
      <w:r w:rsidR="007A405D" w:rsidRPr="000919CD">
        <w:rPr>
          <w:rFonts w:ascii="Times New Roman" w:hAnsi="Times New Roman" w:cs="Times New Roman"/>
          <w:color w:val="000000" w:themeColor="text1"/>
        </w:rPr>
        <w:t xml:space="preserve"> Activity: (</w:t>
      </w:r>
      <w:r w:rsidR="00DC0098" w:rsidRPr="000919CD">
        <w:rPr>
          <w:rFonts w:ascii="Times New Roman" w:hAnsi="Times New Roman" w:cs="Times New Roman"/>
          <w:color w:val="000000" w:themeColor="text1"/>
        </w:rPr>
        <w:t>15-30</w:t>
      </w:r>
      <w:r w:rsidR="007A405D" w:rsidRPr="000919CD">
        <w:rPr>
          <w:rFonts w:ascii="Times New Roman" w:hAnsi="Times New Roman" w:cs="Times New Roman"/>
          <w:color w:val="000000" w:themeColor="text1"/>
        </w:rPr>
        <w:t>%); University and Public Service: (</w:t>
      </w:r>
      <w:r w:rsidR="0041672E" w:rsidRPr="000919CD">
        <w:rPr>
          <w:rFonts w:ascii="Times New Roman" w:hAnsi="Times New Roman" w:cs="Times New Roman"/>
          <w:color w:val="000000" w:themeColor="text1"/>
        </w:rPr>
        <w:t>15</w:t>
      </w:r>
      <w:r w:rsidR="007A405D" w:rsidRPr="000919CD">
        <w:rPr>
          <w:rFonts w:ascii="Times New Roman" w:hAnsi="Times New Roman" w:cs="Times New Roman"/>
          <w:color w:val="000000" w:themeColor="text1"/>
        </w:rPr>
        <w:t>-20%)</w:t>
      </w:r>
    </w:p>
    <w:p w14:paraId="1938D9BB" w14:textId="18148E0F" w:rsidR="00A3253B" w:rsidRPr="000919CD" w:rsidRDefault="00A3253B" w:rsidP="00987C1C">
      <w:pPr>
        <w:pStyle w:val="ListParagraph"/>
        <w:ind w:left="0"/>
        <w:rPr>
          <w:rFonts w:cs="Times New Roman"/>
          <w:color w:val="000000" w:themeColor="text1"/>
        </w:rPr>
      </w:pPr>
    </w:p>
    <w:p w14:paraId="679A9E34" w14:textId="2E90C0B6" w:rsidR="00A3253B" w:rsidRPr="000919CD" w:rsidRDefault="00A3253B" w:rsidP="00987C1C">
      <w:pPr>
        <w:rPr>
          <w:rFonts w:cs="Times New Roman"/>
          <w:b/>
          <w:bCs/>
          <w:i/>
          <w:iCs/>
          <w:color w:val="000000" w:themeColor="text1"/>
        </w:rPr>
      </w:pPr>
      <w:r w:rsidRPr="000919CD">
        <w:rPr>
          <w:rFonts w:ascii="Times New Roman" w:hAnsi="Times New Roman" w:cs="Times New Roman"/>
          <w:b/>
          <w:bCs/>
          <w:i/>
          <w:iCs/>
          <w:color w:val="000000" w:themeColor="text1"/>
        </w:rPr>
        <w:t xml:space="preserve">Voting rights.  </w:t>
      </w:r>
      <w:r w:rsidR="00FB734D" w:rsidRPr="000919CD">
        <w:rPr>
          <w:rFonts w:ascii="Times New Roman" w:hAnsi="Times New Roman" w:cs="Times New Roman"/>
          <w:color w:val="000000" w:themeColor="text1"/>
        </w:rPr>
        <w:t>Professors of Teaching will have the same voting rights as Research Professors of the same rank within each Department.</w:t>
      </w:r>
    </w:p>
    <w:p w14:paraId="20CDF687" w14:textId="4DE09E11" w:rsidR="00A3253B" w:rsidRPr="000919CD" w:rsidRDefault="00A3253B" w:rsidP="00987C1C">
      <w:pPr>
        <w:pStyle w:val="ListParagraph"/>
        <w:ind w:left="0"/>
        <w:rPr>
          <w:rFonts w:cs="Times New Roman"/>
          <w:b/>
          <w:bCs/>
          <w:i/>
          <w:iCs/>
          <w:color w:val="000000" w:themeColor="text1"/>
        </w:rPr>
      </w:pPr>
    </w:p>
    <w:p w14:paraId="1E81A7D6" w14:textId="6246F98C" w:rsidR="00A3253B" w:rsidRPr="000919CD" w:rsidRDefault="00A3253B" w:rsidP="00987C1C">
      <w:pPr>
        <w:rPr>
          <w:rFonts w:cs="Times New Roman"/>
          <w:b/>
          <w:bCs/>
          <w:i/>
          <w:iCs/>
        </w:rPr>
      </w:pPr>
      <w:r w:rsidRPr="000919CD">
        <w:rPr>
          <w:rFonts w:ascii="Times New Roman" w:hAnsi="Times New Roman" w:cs="Times New Roman"/>
          <w:b/>
          <w:bCs/>
          <w:i/>
          <w:iCs/>
          <w:color w:val="000000" w:themeColor="text1"/>
        </w:rPr>
        <w:t>Sabbatical leave</w:t>
      </w:r>
      <w:r w:rsidR="009406DF" w:rsidRPr="000919CD">
        <w:rPr>
          <w:rFonts w:ascii="Times New Roman" w:hAnsi="Times New Roman" w:cs="Times New Roman"/>
          <w:b/>
          <w:bCs/>
          <w:i/>
          <w:iCs/>
          <w:color w:val="000000" w:themeColor="text1"/>
        </w:rPr>
        <w:t xml:space="preserve">. </w:t>
      </w:r>
      <w:r w:rsidR="009406DF" w:rsidRPr="000919CD">
        <w:rPr>
          <w:rFonts w:ascii="Times New Roman" w:hAnsi="Times New Roman" w:cs="Times New Roman"/>
          <w:color w:val="000000" w:themeColor="text1"/>
        </w:rPr>
        <w:t xml:space="preserve"> As members of the Academic Senate, Professors of Teaching have the same access to sabbatical leave and </w:t>
      </w:r>
      <w:r w:rsidR="0071563C" w:rsidRPr="000919CD">
        <w:rPr>
          <w:rFonts w:ascii="Times New Roman" w:hAnsi="Times New Roman" w:cs="Times New Roman"/>
          <w:color w:val="000000" w:themeColor="text1"/>
        </w:rPr>
        <w:t xml:space="preserve">sabbatical leave in residence as those in the Professor series.  Sabbatical leave is subject to accrual and restrictions as described in </w:t>
      </w:r>
      <w:r w:rsidR="00D33B45" w:rsidRPr="000919CD">
        <w:rPr>
          <w:rFonts w:ascii="Times New Roman" w:hAnsi="Times New Roman" w:cs="Times New Roman"/>
          <w:color w:val="000000" w:themeColor="text1"/>
        </w:rPr>
        <w:t xml:space="preserve">the </w:t>
      </w:r>
      <w:r w:rsidR="0071563C" w:rsidRPr="000919CD">
        <w:rPr>
          <w:rFonts w:ascii="Times New Roman" w:hAnsi="Times New Roman" w:cs="Times New Roman"/>
          <w:color w:val="000000" w:themeColor="text1"/>
        </w:rPr>
        <w:t>APM</w:t>
      </w:r>
      <w:r w:rsidR="00D33B45" w:rsidRPr="000919CD">
        <w:rPr>
          <w:rFonts w:ascii="Times New Roman" w:hAnsi="Times New Roman" w:cs="Times New Roman"/>
          <w:color w:val="000000" w:themeColor="text1"/>
        </w:rPr>
        <w:t xml:space="preserve"> </w:t>
      </w:r>
      <w:r w:rsidR="00D33B45" w:rsidRPr="000919CD">
        <w:rPr>
          <w:rFonts w:ascii="Times New Roman" w:hAnsi="Times New Roman" w:cs="Times New Roman"/>
        </w:rPr>
        <w:t>guidelines</w:t>
      </w:r>
      <w:r w:rsidR="0071563C" w:rsidRPr="000919CD">
        <w:rPr>
          <w:rFonts w:ascii="Times New Roman" w:hAnsi="Times New Roman" w:cs="Times New Roman"/>
        </w:rPr>
        <w:t>.</w:t>
      </w:r>
      <w:r w:rsidR="00D33B45" w:rsidRPr="000919CD">
        <w:rPr>
          <w:rFonts w:ascii="Times New Roman" w:hAnsi="Times New Roman" w:cs="Times New Roman"/>
        </w:rPr>
        <w:t xml:space="preserve">  A sabbatical report must be submitted following sabbatical leave.</w:t>
      </w:r>
    </w:p>
    <w:p w14:paraId="5A7BB894" w14:textId="77777777" w:rsidR="00A3253B" w:rsidRPr="000919CD" w:rsidRDefault="00A3253B" w:rsidP="000919CD">
      <w:pPr>
        <w:rPr>
          <w:rFonts w:ascii="Times New Roman" w:hAnsi="Times New Roman" w:cs="Times New Roman"/>
        </w:rPr>
      </w:pPr>
    </w:p>
    <w:p w14:paraId="635BE333" w14:textId="77777777" w:rsidR="007A405D" w:rsidRPr="003D196C" w:rsidRDefault="007A405D" w:rsidP="000919CD">
      <w:pPr>
        <w:rPr>
          <w:rFonts w:ascii="Times New Roman" w:hAnsi="Times New Roman" w:cs="Times New Roman"/>
        </w:rPr>
      </w:pPr>
    </w:p>
    <w:p w14:paraId="57280C98" w14:textId="77777777" w:rsidR="0082241B" w:rsidRPr="000919CD" w:rsidRDefault="007A405D" w:rsidP="007A405D">
      <w:pPr>
        <w:rPr>
          <w:rFonts w:ascii="Times New Roman" w:hAnsi="Times New Roman" w:cs="Times New Roman"/>
          <w:b/>
          <w:bCs/>
        </w:rPr>
      </w:pPr>
      <w:r w:rsidRPr="000919CD">
        <w:rPr>
          <w:rFonts w:ascii="Times New Roman" w:hAnsi="Times New Roman" w:cs="Times New Roman"/>
          <w:b/>
          <w:bCs/>
        </w:rPr>
        <w:t xml:space="preserve">(2) </w:t>
      </w:r>
      <w:r w:rsidR="0082241B" w:rsidRPr="000919CD">
        <w:rPr>
          <w:rFonts w:ascii="Times New Roman" w:hAnsi="Times New Roman" w:cs="Times New Roman"/>
          <w:b/>
          <w:bCs/>
        </w:rPr>
        <w:t>Guidelines</w:t>
      </w:r>
      <w:r w:rsidR="00A82BF8" w:rsidRPr="000919CD">
        <w:rPr>
          <w:rFonts w:ascii="Times New Roman" w:hAnsi="Times New Roman" w:cs="Times New Roman"/>
          <w:b/>
          <w:bCs/>
        </w:rPr>
        <w:t xml:space="preserve"> for Teaching</w:t>
      </w:r>
    </w:p>
    <w:p w14:paraId="367800BB" w14:textId="77777777" w:rsidR="002F1609" w:rsidRPr="003D196C" w:rsidRDefault="002F1609" w:rsidP="007A405D">
      <w:pPr>
        <w:rPr>
          <w:rFonts w:ascii="Times New Roman" w:hAnsi="Times New Roman" w:cs="Times New Roman"/>
          <w:u w:val="single"/>
        </w:rPr>
      </w:pPr>
    </w:p>
    <w:p w14:paraId="34C0D3C9" w14:textId="37ACA2AD" w:rsidR="00F87A78" w:rsidRPr="000919CD" w:rsidRDefault="00F12A07" w:rsidP="007A405D">
      <w:pPr>
        <w:rPr>
          <w:rFonts w:ascii="Times New Roman" w:hAnsi="Times New Roman" w:cs="Times New Roman"/>
        </w:rPr>
      </w:pPr>
      <w:r w:rsidRPr="000919CD">
        <w:rPr>
          <w:rFonts w:ascii="Times New Roman" w:hAnsi="Times New Roman" w:cs="Times New Roman"/>
          <w:b/>
          <w:bCs/>
          <w:i/>
          <w:iCs/>
        </w:rPr>
        <w:t xml:space="preserve">Scope of Teaching Contributions. </w:t>
      </w:r>
      <w:r w:rsidR="0082241B" w:rsidRPr="000919CD">
        <w:rPr>
          <w:rFonts w:ascii="Times New Roman" w:hAnsi="Times New Roman" w:cs="Times New Roman"/>
        </w:rPr>
        <w:t xml:space="preserve">Professors of Teaching will have a teaching load in the range of </w:t>
      </w:r>
      <w:r w:rsidR="00F87A78" w:rsidRPr="000919CD">
        <w:rPr>
          <w:rFonts w:ascii="Times New Roman" w:hAnsi="Times New Roman" w:cs="Times New Roman"/>
        </w:rPr>
        <w:t xml:space="preserve">two courses per quarter, or about </w:t>
      </w:r>
      <w:r w:rsidR="00447B9C" w:rsidRPr="000919CD">
        <w:rPr>
          <w:rFonts w:ascii="Times New Roman" w:hAnsi="Times New Roman" w:cs="Times New Roman"/>
        </w:rPr>
        <w:t>180 hrs</w:t>
      </w:r>
      <w:r w:rsidR="0082241B" w:rsidRPr="000919CD">
        <w:rPr>
          <w:rFonts w:ascii="Times New Roman" w:hAnsi="Times New Roman" w:cs="Times New Roman"/>
        </w:rPr>
        <w:t>.  Like research professors, this teaching load is reduced accordingly for activities that necessitate release from teaching.</w:t>
      </w:r>
      <w:r w:rsidR="004B272F" w:rsidRPr="000919CD">
        <w:rPr>
          <w:rFonts w:ascii="Times New Roman" w:hAnsi="Times New Roman" w:cs="Times New Roman"/>
        </w:rPr>
        <w:t xml:space="preserve">  </w:t>
      </w:r>
      <w:r w:rsidR="00F87A78" w:rsidRPr="000919CD">
        <w:rPr>
          <w:rFonts w:ascii="Times New Roman" w:hAnsi="Times New Roman" w:cs="Times New Roman"/>
        </w:rPr>
        <w:t>Half time faculty are expected to have half the teaching workload.  In addition, Professors of Teaching have the option of additional teaching, such as summer teaching or additional courses needed for carrying out pedagogical studies.</w:t>
      </w:r>
    </w:p>
    <w:p w14:paraId="6489954B" w14:textId="77777777" w:rsidR="00F87A78" w:rsidRPr="000919CD" w:rsidRDefault="00F87A78" w:rsidP="007A405D">
      <w:pPr>
        <w:rPr>
          <w:rFonts w:ascii="Times New Roman" w:hAnsi="Times New Roman" w:cs="Times New Roman"/>
        </w:rPr>
      </w:pPr>
    </w:p>
    <w:p w14:paraId="0D313ED5" w14:textId="77777777" w:rsidR="0082241B" w:rsidRPr="000919CD" w:rsidRDefault="004B272F" w:rsidP="007A405D">
      <w:pPr>
        <w:rPr>
          <w:rFonts w:ascii="Times New Roman" w:hAnsi="Times New Roman" w:cs="Times New Roman"/>
          <w:b/>
          <w:bCs/>
          <w:i/>
          <w:iCs/>
        </w:rPr>
      </w:pPr>
      <w:r w:rsidRPr="000919CD">
        <w:rPr>
          <w:rFonts w:ascii="Times New Roman" w:hAnsi="Times New Roman" w:cs="Times New Roman"/>
        </w:rPr>
        <w:t>Professors of Teaching may be assigned courses at the undergraduate or graduate level.  Departments are encouraged to make teaching assignments in the Professor’s area of expertise</w:t>
      </w:r>
      <w:r w:rsidR="002F1609" w:rsidRPr="000919CD">
        <w:rPr>
          <w:rFonts w:ascii="Times New Roman" w:hAnsi="Times New Roman" w:cs="Times New Roman"/>
        </w:rPr>
        <w:t xml:space="preserve"> with the Professor’s input</w:t>
      </w:r>
      <w:r w:rsidRPr="000919CD">
        <w:rPr>
          <w:rFonts w:ascii="Times New Roman" w:hAnsi="Times New Roman" w:cs="Times New Roman"/>
        </w:rPr>
        <w:t>; to promote stability in the teaching assignments from year to year as appropriate; and to provide opportunities to stack classes to permit an occasional open quarter.</w:t>
      </w:r>
    </w:p>
    <w:p w14:paraId="35442A07" w14:textId="77777777" w:rsidR="0082241B" w:rsidRPr="000919CD" w:rsidRDefault="0082241B" w:rsidP="007A405D">
      <w:pPr>
        <w:rPr>
          <w:rFonts w:ascii="Times New Roman" w:hAnsi="Times New Roman" w:cs="Times New Roman"/>
        </w:rPr>
      </w:pPr>
    </w:p>
    <w:p w14:paraId="130D0E4F" w14:textId="7CDF8F32" w:rsidR="001F49A3" w:rsidRPr="000919CD" w:rsidRDefault="001F49A3" w:rsidP="007A405D">
      <w:pPr>
        <w:rPr>
          <w:rFonts w:ascii="Times New Roman" w:hAnsi="Times New Roman" w:cs="Times New Roman"/>
        </w:rPr>
      </w:pPr>
      <w:r w:rsidRPr="000919CD">
        <w:rPr>
          <w:rFonts w:ascii="Times New Roman" w:hAnsi="Times New Roman" w:cs="Times New Roman"/>
        </w:rPr>
        <w:t xml:space="preserve">Professors of Teaching may supervise Bio Sci 199 students to engage in their research.  Supervision of </w:t>
      </w:r>
      <w:r w:rsidR="00232E1D">
        <w:rPr>
          <w:rFonts w:ascii="Times New Roman" w:hAnsi="Times New Roman" w:cs="Times New Roman"/>
        </w:rPr>
        <w:t xml:space="preserve">doctoral </w:t>
      </w:r>
      <w:r w:rsidRPr="000919CD">
        <w:rPr>
          <w:rFonts w:ascii="Times New Roman" w:hAnsi="Times New Roman" w:cs="Times New Roman"/>
        </w:rPr>
        <w:t>graduate students in research is uncommon for faculty in this series, and would require a commitment of financial support.</w:t>
      </w:r>
      <w:r w:rsidR="00232E1D">
        <w:rPr>
          <w:rFonts w:ascii="Times New Roman" w:hAnsi="Times New Roman" w:cs="Times New Roman"/>
        </w:rPr>
        <w:t xml:space="preserve"> Master’s programs may include training with Professors of Teaching as appropriate.  </w:t>
      </w:r>
      <w:r w:rsidR="00077A8A" w:rsidRPr="000919CD">
        <w:rPr>
          <w:rFonts w:ascii="Times New Roman" w:hAnsi="Times New Roman" w:cs="Times New Roman"/>
        </w:rPr>
        <w:t xml:space="preserve">Professors of Teaching will contribute to training </w:t>
      </w:r>
      <w:r w:rsidR="00F87A78" w:rsidRPr="000919CD">
        <w:rPr>
          <w:rFonts w:ascii="Times New Roman" w:hAnsi="Times New Roman" w:cs="Times New Roman"/>
        </w:rPr>
        <w:t xml:space="preserve">and </w:t>
      </w:r>
      <w:r w:rsidR="00077A8A" w:rsidRPr="000919CD">
        <w:rPr>
          <w:rFonts w:ascii="Times New Roman" w:hAnsi="Times New Roman" w:cs="Times New Roman"/>
        </w:rPr>
        <w:t xml:space="preserve">mentoring graduate student </w:t>
      </w:r>
      <w:r w:rsidR="00F87A78" w:rsidRPr="000919CD">
        <w:rPr>
          <w:rFonts w:ascii="Times New Roman" w:hAnsi="Times New Roman" w:cs="Times New Roman"/>
        </w:rPr>
        <w:t>teaching assistants</w:t>
      </w:r>
      <w:r w:rsidR="00077A8A" w:rsidRPr="000919CD">
        <w:rPr>
          <w:rFonts w:ascii="Times New Roman" w:hAnsi="Times New Roman" w:cs="Times New Roman"/>
        </w:rPr>
        <w:t xml:space="preserve"> and learning assistants as appropriate.</w:t>
      </w:r>
      <w:r w:rsidR="00F87A78" w:rsidRPr="000919CD">
        <w:rPr>
          <w:rFonts w:ascii="Times New Roman" w:hAnsi="Times New Roman" w:cs="Times New Roman"/>
        </w:rPr>
        <w:t xml:space="preserve">  Oversight of large courses taught by TAs will be credited according to the time needed for TA training. Mentoring of learning assistants would be considered mentoring, which is an important contribution to teaching but does not fulfill the teaching load requirement.</w:t>
      </w:r>
    </w:p>
    <w:p w14:paraId="76EAB647" w14:textId="77777777" w:rsidR="001F49A3" w:rsidRPr="003D196C" w:rsidRDefault="001F49A3" w:rsidP="007A405D">
      <w:pPr>
        <w:rPr>
          <w:rFonts w:ascii="Times New Roman" w:hAnsi="Times New Roman" w:cs="Times New Roman"/>
          <w:u w:val="single"/>
        </w:rPr>
      </w:pPr>
    </w:p>
    <w:p w14:paraId="1DC89FD5" w14:textId="77777777" w:rsidR="00FC32F1" w:rsidRDefault="007A405D" w:rsidP="007A405D">
      <w:pPr>
        <w:rPr>
          <w:rFonts w:ascii="Times New Roman" w:hAnsi="Times New Roman" w:cs="Times New Roman"/>
        </w:rPr>
      </w:pPr>
      <w:r w:rsidRPr="00987C1C">
        <w:rPr>
          <w:rFonts w:ascii="Times New Roman" w:hAnsi="Times New Roman" w:cs="Times New Roman"/>
          <w:b/>
          <w:bCs/>
          <w:i/>
          <w:iCs/>
        </w:rPr>
        <w:t>Metrics to be used in evaluating teaching</w:t>
      </w:r>
      <w:r w:rsidR="00F12A07" w:rsidRPr="003D196C">
        <w:rPr>
          <w:rFonts w:ascii="Times New Roman" w:hAnsi="Times New Roman" w:cs="Times New Roman"/>
        </w:rPr>
        <w:t>.</w:t>
      </w:r>
      <w:r w:rsidRPr="003D196C">
        <w:rPr>
          <w:rFonts w:ascii="Times New Roman" w:hAnsi="Times New Roman" w:cs="Times New Roman"/>
        </w:rPr>
        <w:t xml:space="preserve"> </w:t>
      </w:r>
    </w:p>
    <w:p w14:paraId="3EBE3231" w14:textId="77777777" w:rsidR="00FC32F1" w:rsidRDefault="00FC32F1" w:rsidP="007A405D">
      <w:pPr>
        <w:rPr>
          <w:rFonts w:ascii="Times New Roman" w:hAnsi="Times New Roman" w:cs="Times New Roman"/>
        </w:rPr>
      </w:pPr>
    </w:p>
    <w:p w14:paraId="10412AE3" w14:textId="34A87C88" w:rsidR="00232E1D" w:rsidRPr="003D196C" w:rsidRDefault="007A405D" w:rsidP="007A405D">
      <w:pPr>
        <w:rPr>
          <w:rFonts w:ascii="Times New Roman" w:hAnsi="Times New Roman" w:cs="Times New Roman"/>
        </w:rPr>
      </w:pPr>
      <w:r w:rsidRPr="003D196C">
        <w:rPr>
          <w:rFonts w:ascii="Times New Roman" w:hAnsi="Times New Roman" w:cs="Times New Roman"/>
        </w:rPr>
        <w:t xml:space="preserve">Identified areas of teaching to be assessed and mechanisms for evaluating achievement that goes beyond reliance only on student evaluations. </w:t>
      </w:r>
    </w:p>
    <w:p w14:paraId="62048F06" w14:textId="77777777" w:rsidR="007A405D" w:rsidRPr="003D196C" w:rsidRDefault="007A405D" w:rsidP="007A405D">
      <w:pPr>
        <w:rPr>
          <w:rFonts w:ascii="Times New Roman" w:hAnsi="Times New Roman" w:cs="Times New Roman"/>
        </w:rPr>
      </w:pPr>
    </w:p>
    <w:p w14:paraId="63EFD02A" w14:textId="11116E6B" w:rsidR="007A405D" w:rsidRPr="00232E1D" w:rsidRDefault="0037437F" w:rsidP="007A405D">
      <w:pPr>
        <w:rPr>
          <w:rFonts w:ascii="Times New Roman" w:hAnsi="Times New Roman" w:cs="Times New Roman"/>
          <w:color w:val="000000" w:themeColor="text1"/>
        </w:rPr>
      </w:pPr>
      <w:r w:rsidRPr="00232E1D">
        <w:rPr>
          <w:rFonts w:ascii="Times New Roman" w:hAnsi="Times New Roman" w:cs="Times New Roman"/>
          <w:color w:val="000000" w:themeColor="text1"/>
        </w:rPr>
        <w:t>A</w:t>
      </w:r>
      <w:r w:rsidR="007A405D" w:rsidRPr="00232E1D">
        <w:rPr>
          <w:rFonts w:ascii="Times New Roman" w:hAnsi="Times New Roman" w:cs="Times New Roman"/>
          <w:color w:val="000000" w:themeColor="text1"/>
        </w:rPr>
        <w:t>. Demonstrates exceptional teaching and mentoring: Uses evidence-based teaching practices consistently and effectively. Practices to evaluate (this list is not exhaustive but provides examples to consider):</w:t>
      </w:r>
    </w:p>
    <w:p w14:paraId="0211C62F" w14:textId="77777777" w:rsidR="007A405D" w:rsidRPr="00232E1D" w:rsidRDefault="007A405D" w:rsidP="007A405D">
      <w:pPr>
        <w:pStyle w:val="ListParagraph"/>
        <w:numPr>
          <w:ilvl w:val="0"/>
          <w:numId w:val="2"/>
        </w:numPr>
        <w:rPr>
          <w:rFonts w:cs="Times New Roman"/>
          <w:color w:val="000000" w:themeColor="text1"/>
        </w:rPr>
      </w:pPr>
      <w:r w:rsidRPr="00232E1D">
        <w:rPr>
          <w:rFonts w:cs="Times New Roman"/>
          <w:color w:val="000000" w:themeColor="text1"/>
        </w:rPr>
        <w:t>Course content: learning goals clearly articulated, material current, demonstrates expertise in content</w:t>
      </w:r>
    </w:p>
    <w:p w14:paraId="7EECB444" w14:textId="77777777" w:rsidR="007A405D" w:rsidRPr="00232E1D" w:rsidRDefault="007A405D" w:rsidP="007A405D">
      <w:pPr>
        <w:pStyle w:val="ListParagraph"/>
        <w:numPr>
          <w:ilvl w:val="0"/>
          <w:numId w:val="2"/>
        </w:numPr>
        <w:rPr>
          <w:rFonts w:cs="Times New Roman"/>
          <w:color w:val="000000" w:themeColor="text1"/>
        </w:rPr>
      </w:pPr>
      <w:r w:rsidRPr="00232E1D">
        <w:rPr>
          <w:rFonts w:cs="Times New Roman"/>
          <w:color w:val="000000" w:themeColor="text1"/>
        </w:rPr>
        <w:t>Student learning: frequent formative assessment and summative assessments closely aligned with goals</w:t>
      </w:r>
    </w:p>
    <w:p w14:paraId="59CC8193" w14:textId="77777777" w:rsidR="007A405D" w:rsidRPr="00232E1D" w:rsidRDefault="007A405D" w:rsidP="007A405D">
      <w:pPr>
        <w:pStyle w:val="ListParagraph"/>
        <w:numPr>
          <w:ilvl w:val="0"/>
          <w:numId w:val="2"/>
        </w:numPr>
        <w:rPr>
          <w:rFonts w:cs="Times New Roman"/>
          <w:color w:val="000000" w:themeColor="text1"/>
        </w:rPr>
      </w:pPr>
      <w:r w:rsidRPr="00232E1D">
        <w:rPr>
          <w:rFonts w:cs="Times New Roman"/>
          <w:color w:val="000000" w:themeColor="text1"/>
        </w:rPr>
        <w:t>Course delivery: stimulates interest in subject, uses diverse approaches, active student participation</w:t>
      </w:r>
    </w:p>
    <w:p w14:paraId="1593D253" w14:textId="77777777" w:rsidR="007A405D" w:rsidRPr="00232E1D" w:rsidRDefault="007A405D" w:rsidP="007A405D">
      <w:pPr>
        <w:pStyle w:val="ListParagraph"/>
        <w:numPr>
          <w:ilvl w:val="0"/>
          <w:numId w:val="2"/>
        </w:numPr>
        <w:rPr>
          <w:rFonts w:cs="Times New Roman"/>
          <w:color w:val="000000" w:themeColor="text1"/>
        </w:rPr>
      </w:pPr>
      <w:r w:rsidRPr="00232E1D">
        <w:rPr>
          <w:rFonts w:cs="Times New Roman"/>
          <w:color w:val="000000" w:themeColor="text1"/>
        </w:rPr>
        <w:t>Course management: creates open fair learning environment, organized, accessible</w:t>
      </w:r>
    </w:p>
    <w:p w14:paraId="62F87F89" w14:textId="77777777" w:rsidR="007A405D" w:rsidRPr="00232E1D" w:rsidRDefault="007A405D" w:rsidP="007A405D">
      <w:pPr>
        <w:pStyle w:val="ListParagraph"/>
        <w:numPr>
          <w:ilvl w:val="0"/>
          <w:numId w:val="2"/>
        </w:numPr>
        <w:rPr>
          <w:rFonts w:cs="Times New Roman"/>
          <w:color w:val="000000" w:themeColor="text1"/>
        </w:rPr>
      </w:pPr>
      <w:r w:rsidRPr="00232E1D">
        <w:rPr>
          <w:rFonts w:cs="Times New Roman"/>
          <w:color w:val="000000" w:themeColor="text1"/>
        </w:rPr>
        <w:t>Professional development: participates in training for use of new evidence-based teaching practices.</w:t>
      </w:r>
    </w:p>
    <w:p w14:paraId="72418C40" w14:textId="791252AF" w:rsidR="007A405D" w:rsidRDefault="007A405D" w:rsidP="007A405D">
      <w:pPr>
        <w:pStyle w:val="ListParagraph"/>
        <w:numPr>
          <w:ilvl w:val="0"/>
          <w:numId w:val="2"/>
        </w:numPr>
        <w:rPr>
          <w:rFonts w:cs="Times New Roman"/>
          <w:color w:val="000000" w:themeColor="text1"/>
        </w:rPr>
      </w:pPr>
      <w:r w:rsidRPr="00232E1D">
        <w:rPr>
          <w:rFonts w:cs="Times New Roman"/>
          <w:color w:val="000000" w:themeColor="text1"/>
        </w:rPr>
        <w:t>Quantity and quality of mentoring of 199 students and Teaching Assistants</w:t>
      </w:r>
    </w:p>
    <w:p w14:paraId="0F37162F" w14:textId="77777777" w:rsidR="00B6112A" w:rsidRPr="003D196C" w:rsidRDefault="00B6112A" w:rsidP="00B6112A">
      <w:pPr>
        <w:pStyle w:val="ListParagraph"/>
        <w:numPr>
          <w:ilvl w:val="0"/>
          <w:numId w:val="2"/>
        </w:numPr>
        <w:rPr>
          <w:rFonts w:cs="Times New Roman"/>
        </w:rPr>
      </w:pPr>
      <w:r w:rsidRPr="003D196C">
        <w:rPr>
          <w:rFonts w:cs="Times New Roman"/>
          <w:iCs/>
        </w:rPr>
        <w:t xml:space="preserve">Professors of Teaching may serve on graduate students’ advisory, advancement, or thesis committees with </w:t>
      </w:r>
      <w:r w:rsidRPr="003D196C">
        <w:rPr>
          <w:rFonts w:cs="Times New Roman"/>
        </w:rPr>
        <w:t>departmental approval (department chair or grad advisor)</w:t>
      </w:r>
    </w:p>
    <w:p w14:paraId="4EFB068C" w14:textId="77777777" w:rsidR="00B6112A" w:rsidRPr="00232E1D" w:rsidRDefault="00B6112A" w:rsidP="00881E73">
      <w:pPr>
        <w:pStyle w:val="ListParagraph"/>
        <w:rPr>
          <w:rFonts w:cs="Times New Roman"/>
          <w:color w:val="000000" w:themeColor="text1"/>
        </w:rPr>
      </w:pPr>
    </w:p>
    <w:p w14:paraId="57AE5927" w14:textId="77777777" w:rsidR="0082241B" w:rsidRPr="00232E1D" w:rsidRDefault="0082241B" w:rsidP="0082241B">
      <w:pPr>
        <w:pStyle w:val="ListParagraph"/>
        <w:rPr>
          <w:rFonts w:cs="Times New Roman"/>
          <w:color w:val="000000" w:themeColor="text1"/>
        </w:rPr>
      </w:pPr>
    </w:p>
    <w:p w14:paraId="569F0834" w14:textId="75503A30" w:rsidR="007A405D" w:rsidRPr="00232E1D" w:rsidRDefault="0037437F" w:rsidP="007A405D">
      <w:pPr>
        <w:rPr>
          <w:rFonts w:ascii="Times New Roman" w:hAnsi="Times New Roman" w:cs="Times New Roman"/>
          <w:color w:val="000000" w:themeColor="text1"/>
        </w:rPr>
      </w:pPr>
      <w:r w:rsidRPr="00232E1D">
        <w:rPr>
          <w:rFonts w:ascii="Times New Roman" w:hAnsi="Times New Roman" w:cs="Times New Roman"/>
          <w:color w:val="000000" w:themeColor="text1"/>
        </w:rPr>
        <w:t>B</w:t>
      </w:r>
      <w:r w:rsidR="007A405D" w:rsidRPr="00232E1D">
        <w:rPr>
          <w:rFonts w:ascii="Times New Roman" w:hAnsi="Times New Roman" w:cs="Times New Roman"/>
          <w:color w:val="000000" w:themeColor="text1"/>
        </w:rPr>
        <w:t>. Assessment tools that can be used to evaluate of evidence</w:t>
      </w:r>
      <w:r w:rsidR="0082241B" w:rsidRPr="00232E1D">
        <w:rPr>
          <w:rFonts w:ascii="Times New Roman" w:hAnsi="Times New Roman" w:cs="Times New Roman"/>
          <w:color w:val="000000" w:themeColor="text1"/>
        </w:rPr>
        <w:t>-</w:t>
      </w:r>
      <w:r w:rsidR="007A405D" w:rsidRPr="00232E1D">
        <w:rPr>
          <w:rFonts w:ascii="Times New Roman" w:hAnsi="Times New Roman" w:cs="Times New Roman"/>
          <w:color w:val="000000" w:themeColor="text1"/>
        </w:rPr>
        <w:t>based teaching practices. Examples to consider:</w:t>
      </w:r>
    </w:p>
    <w:p w14:paraId="2E0AA755" w14:textId="0A1E46E8" w:rsidR="007A405D" w:rsidRPr="003D196C" w:rsidRDefault="005A1961" w:rsidP="007A405D">
      <w:pPr>
        <w:pStyle w:val="ListParagraph"/>
        <w:numPr>
          <w:ilvl w:val="0"/>
          <w:numId w:val="3"/>
        </w:numPr>
        <w:rPr>
          <w:rFonts w:cs="Times New Roman"/>
        </w:rPr>
      </w:pPr>
      <w:r>
        <w:rPr>
          <w:rFonts w:cs="Times New Roman"/>
        </w:rPr>
        <w:t>Reflective teaching statement</w:t>
      </w:r>
      <w:r w:rsidR="007A405D" w:rsidRPr="003D196C">
        <w:rPr>
          <w:rFonts w:cs="Times New Roman"/>
        </w:rPr>
        <w:t>, course learning goals, tools used to achieve goals</w:t>
      </w:r>
    </w:p>
    <w:p w14:paraId="69C225B1" w14:textId="77777777" w:rsidR="007A405D" w:rsidRPr="003D196C" w:rsidRDefault="007A405D" w:rsidP="007A405D">
      <w:pPr>
        <w:pStyle w:val="ListParagraph"/>
        <w:numPr>
          <w:ilvl w:val="0"/>
          <w:numId w:val="3"/>
        </w:numPr>
        <w:rPr>
          <w:rFonts w:cs="Times New Roman"/>
        </w:rPr>
      </w:pPr>
      <w:r w:rsidRPr="003D196C">
        <w:rPr>
          <w:rFonts w:cs="Times New Roman"/>
        </w:rPr>
        <w:t>Student/TA evaluations: anonymous, high response rates</w:t>
      </w:r>
    </w:p>
    <w:p w14:paraId="582CF1E2" w14:textId="77777777" w:rsidR="007A405D" w:rsidRPr="003D196C" w:rsidRDefault="007A405D" w:rsidP="007A405D">
      <w:pPr>
        <w:pStyle w:val="ListParagraph"/>
        <w:numPr>
          <w:ilvl w:val="0"/>
          <w:numId w:val="3"/>
        </w:numPr>
        <w:rPr>
          <w:rFonts w:cs="Times New Roman"/>
        </w:rPr>
      </w:pPr>
      <w:r w:rsidRPr="003D196C">
        <w:rPr>
          <w:rFonts w:cs="Times New Roman"/>
        </w:rPr>
        <w:t>Peer evaluations: Conducted by faculty familiar with content and pedagogy; use of Standardized rubrics for teaching evaluation that are aligned with the UCI Teaching Learning &amp; Technology Center, in addition to comments</w:t>
      </w:r>
    </w:p>
    <w:p w14:paraId="4F484B3C" w14:textId="77777777" w:rsidR="007A405D" w:rsidRPr="003D196C" w:rsidRDefault="007A405D" w:rsidP="007A405D">
      <w:pPr>
        <w:pStyle w:val="ListParagraph"/>
        <w:numPr>
          <w:ilvl w:val="0"/>
          <w:numId w:val="3"/>
        </w:numPr>
        <w:rPr>
          <w:rFonts w:cs="Times New Roman"/>
        </w:rPr>
      </w:pPr>
      <w:r w:rsidRPr="003D196C">
        <w:rPr>
          <w:rFonts w:cs="Times New Roman"/>
        </w:rPr>
        <w:t>Awards: including description of nomination practice, intramural, extramural, etc.</w:t>
      </w:r>
    </w:p>
    <w:p w14:paraId="598B3045" w14:textId="77777777" w:rsidR="0074476B" w:rsidRDefault="0074476B" w:rsidP="001E2586">
      <w:pPr>
        <w:spacing w:after="200"/>
        <w:rPr>
          <w:rFonts w:ascii="Times New Roman" w:hAnsi="Times New Roman" w:cs="Times New Roman"/>
          <w:b/>
        </w:rPr>
      </w:pPr>
    </w:p>
    <w:p w14:paraId="446259EA" w14:textId="27288BE2" w:rsidR="00D5489C" w:rsidRPr="00CD205B" w:rsidRDefault="007A405D" w:rsidP="001E2586">
      <w:pPr>
        <w:spacing w:after="200"/>
        <w:rPr>
          <w:rFonts w:ascii="Times New Roman" w:hAnsi="Times New Roman" w:cs="Times New Roman"/>
          <w:b/>
        </w:rPr>
      </w:pPr>
      <w:r w:rsidRPr="003D196C">
        <w:rPr>
          <w:rFonts w:ascii="Times New Roman" w:hAnsi="Times New Roman" w:cs="Times New Roman"/>
          <w:b/>
        </w:rPr>
        <w:t xml:space="preserve">(3) </w:t>
      </w:r>
      <w:r w:rsidR="00F12A07" w:rsidRPr="003D196C">
        <w:rPr>
          <w:rFonts w:ascii="Times New Roman" w:hAnsi="Times New Roman" w:cs="Times New Roman"/>
          <w:b/>
        </w:rPr>
        <w:t>Guidelines for</w:t>
      </w:r>
      <w:r w:rsidRPr="003D196C">
        <w:rPr>
          <w:rFonts w:ascii="Times New Roman" w:hAnsi="Times New Roman" w:cs="Times New Roman"/>
          <w:b/>
        </w:rPr>
        <w:t xml:space="preserve"> </w:t>
      </w:r>
      <w:r w:rsidR="00D5489C" w:rsidRPr="003D196C">
        <w:rPr>
          <w:rFonts w:ascii="Times New Roman" w:hAnsi="Times New Roman" w:cs="Times New Roman"/>
          <w:b/>
        </w:rPr>
        <w:t>Research</w:t>
      </w:r>
      <w:r w:rsidR="00A82BF8" w:rsidRPr="003D196C">
        <w:rPr>
          <w:rFonts w:ascii="Times New Roman" w:hAnsi="Times New Roman" w:cs="Times New Roman"/>
          <w:b/>
        </w:rPr>
        <w:t xml:space="preserve"> and </w:t>
      </w:r>
      <w:r w:rsidR="00D5489C" w:rsidRPr="003D196C">
        <w:rPr>
          <w:rFonts w:ascii="Times New Roman" w:hAnsi="Times New Roman" w:cs="Times New Roman"/>
          <w:b/>
        </w:rPr>
        <w:t>Creative Activity</w:t>
      </w:r>
      <w:r w:rsidR="00F12A07" w:rsidRPr="00CD205B">
        <w:rPr>
          <w:rFonts w:ascii="Times New Roman" w:hAnsi="Times New Roman" w:cs="Times New Roman"/>
          <w:b/>
        </w:rPr>
        <w:t xml:space="preserve"> </w:t>
      </w:r>
    </w:p>
    <w:p w14:paraId="0C202D58" w14:textId="77777777" w:rsidR="00224FAD" w:rsidRPr="003D196C" w:rsidRDefault="00224FAD" w:rsidP="001E2586">
      <w:pPr>
        <w:spacing w:after="200"/>
        <w:rPr>
          <w:rFonts w:ascii="Times New Roman" w:hAnsi="Times New Roman" w:cs="Times New Roman"/>
        </w:rPr>
      </w:pPr>
      <w:r w:rsidRPr="003D196C">
        <w:rPr>
          <w:rFonts w:ascii="Times New Roman" w:hAnsi="Times New Roman" w:cs="Times New Roman"/>
        </w:rPr>
        <w:t>Like research faculty, Professors of Teaching are expected to conduct research, albeit with less emphasis in merit and promotion reviews.</w:t>
      </w:r>
    </w:p>
    <w:p w14:paraId="6E1B6BB2" w14:textId="77777777" w:rsidR="002A1153" w:rsidRPr="003D196C" w:rsidRDefault="002A1153" w:rsidP="002A1153">
      <w:pPr>
        <w:spacing w:after="200"/>
        <w:rPr>
          <w:rFonts w:ascii="Times New Roman" w:hAnsi="Times New Roman" w:cs="Times New Roman"/>
          <w:b/>
          <w:bCs/>
          <w:i/>
          <w:iCs/>
        </w:rPr>
      </w:pPr>
      <w:r w:rsidRPr="003D196C">
        <w:rPr>
          <w:rFonts w:ascii="Times New Roman" w:hAnsi="Times New Roman" w:cs="Times New Roman"/>
          <w:b/>
          <w:bCs/>
          <w:i/>
          <w:iCs/>
        </w:rPr>
        <w:t>Scope of Research and Creative Activity</w:t>
      </w:r>
    </w:p>
    <w:p w14:paraId="2CFF8A4B" w14:textId="77777777" w:rsidR="002A1153" w:rsidRPr="003D196C" w:rsidRDefault="002A1153" w:rsidP="002A1153">
      <w:pPr>
        <w:pStyle w:val="default"/>
        <w:spacing w:before="0" w:beforeAutospacing="0" w:after="0" w:afterAutospacing="0"/>
        <w:rPr>
          <w:color w:val="000000"/>
          <w:u w:val="single"/>
        </w:rPr>
      </w:pPr>
      <w:r w:rsidRPr="003D196C">
        <w:rPr>
          <w:color w:val="000000"/>
        </w:rPr>
        <w:t>Activities that count toward research/creative activity need to meet all three of the criteria below:</w:t>
      </w:r>
    </w:p>
    <w:p w14:paraId="6269382F" w14:textId="77777777" w:rsidR="002A1153" w:rsidRPr="003D196C" w:rsidRDefault="002A1153" w:rsidP="002A1153">
      <w:pPr>
        <w:pStyle w:val="default"/>
        <w:numPr>
          <w:ilvl w:val="0"/>
          <w:numId w:val="20"/>
        </w:numPr>
        <w:spacing w:before="0" w:beforeAutospacing="0" w:after="0" w:afterAutospacing="0"/>
        <w:rPr>
          <w:color w:val="000000"/>
        </w:rPr>
      </w:pPr>
      <w:r w:rsidRPr="003D196C">
        <w:rPr>
          <w:color w:val="000000"/>
        </w:rPr>
        <w:t>Represents new knowledge, innovation, and/or analysis in the discipline/pedagogy - as judged by peer or other external review,</w:t>
      </w:r>
    </w:p>
    <w:p w14:paraId="799D5436" w14:textId="77777777" w:rsidR="002A1153" w:rsidRPr="003D196C" w:rsidRDefault="002A1153" w:rsidP="002A1153">
      <w:pPr>
        <w:pStyle w:val="default"/>
        <w:numPr>
          <w:ilvl w:val="0"/>
          <w:numId w:val="20"/>
        </w:numPr>
        <w:spacing w:before="0" w:beforeAutospacing="0" w:after="0" w:afterAutospacing="0"/>
        <w:rPr>
          <w:color w:val="000000"/>
        </w:rPr>
      </w:pPr>
      <w:r w:rsidRPr="003D196C">
        <w:rPr>
          <w:color w:val="000000"/>
        </w:rPr>
        <w:t>Publication/dissemination and public accessibility of the work beyond the university,</w:t>
      </w:r>
    </w:p>
    <w:p w14:paraId="23B4A676" w14:textId="6462C6AB" w:rsidR="002A1153" w:rsidRDefault="002A1153" w:rsidP="002A1153">
      <w:pPr>
        <w:pStyle w:val="default"/>
        <w:numPr>
          <w:ilvl w:val="0"/>
          <w:numId w:val="20"/>
        </w:numPr>
        <w:spacing w:before="0" w:beforeAutospacing="0" w:after="0" w:afterAutospacing="0"/>
        <w:rPr>
          <w:color w:val="000000"/>
        </w:rPr>
      </w:pPr>
      <w:r w:rsidRPr="003D196C">
        <w:rPr>
          <w:color w:val="000000"/>
        </w:rPr>
        <w:t>Impact and influence on the field, the academy, or the wider society. </w:t>
      </w:r>
    </w:p>
    <w:p w14:paraId="353CC9BF" w14:textId="77777777" w:rsidR="002A1153" w:rsidRPr="003D196C" w:rsidRDefault="002A1153" w:rsidP="00881E73">
      <w:pPr>
        <w:pStyle w:val="default"/>
        <w:spacing w:before="0" w:beforeAutospacing="0" w:after="0" w:afterAutospacing="0"/>
        <w:rPr>
          <w:color w:val="000000"/>
        </w:rPr>
      </w:pPr>
    </w:p>
    <w:p w14:paraId="69DA755A" w14:textId="0A4327BA" w:rsidR="009E22C7" w:rsidRDefault="00A82BF8" w:rsidP="001E2586">
      <w:pPr>
        <w:spacing w:after="200"/>
        <w:rPr>
          <w:rFonts w:ascii="Times New Roman" w:hAnsi="Times New Roman" w:cs="Times New Roman"/>
        </w:rPr>
      </w:pPr>
      <w:r w:rsidRPr="003D196C">
        <w:rPr>
          <w:rFonts w:ascii="Times New Roman" w:hAnsi="Times New Roman" w:cs="Times New Roman"/>
          <w:b/>
          <w:i/>
        </w:rPr>
        <w:t xml:space="preserve">Metrics for Evaluating Research and Creative Activity. </w:t>
      </w:r>
    </w:p>
    <w:p w14:paraId="18C71036" w14:textId="77777777" w:rsidR="00224FAD" w:rsidRPr="003D196C" w:rsidRDefault="00224FAD" w:rsidP="00224FAD">
      <w:pPr>
        <w:pStyle w:val="ListParagraph"/>
        <w:numPr>
          <w:ilvl w:val="0"/>
          <w:numId w:val="9"/>
        </w:numPr>
        <w:rPr>
          <w:rFonts w:cs="Times New Roman"/>
          <w:color w:val="000000" w:themeColor="text1"/>
        </w:rPr>
      </w:pPr>
      <w:r w:rsidRPr="003D196C">
        <w:rPr>
          <w:rFonts w:cs="Times New Roman"/>
          <w:color w:val="000000" w:themeColor="text1"/>
        </w:rPr>
        <w:t xml:space="preserve">Faculty are expected to create knowledge through high quality research and creative activity with an impact on the field. </w:t>
      </w:r>
    </w:p>
    <w:p w14:paraId="27C59553" w14:textId="5D54AE90" w:rsidR="00224FAD" w:rsidRDefault="00224FAD" w:rsidP="00F87A78">
      <w:pPr>
        <w:pStyle w:val="ListParagraph"/>
        <w:numPr>
          <w:ilvl w:val="0"/>
          <w:numId w:val="9"/>
        </w:numPr>
        <w:rPr>
          <w:rFonts w:cs="Times New Roman"/>
          <w:color w:val="000000" w:themeColor="text1"/>
        </w:rPr>
      </w:pPr>
      <w:r w:rsidRPr="003D196C">
        <w:rPr>
          <w:rFonts w:cs="Times New Roman"/>
          <w:color w:val="000000" w:themeColor="text1"/>
        </w:rPr>
        <w:lastRenderedPageBreak/>
        <w:t xml:space="preserve">For our School, the most common contributions are peer-reviewed journal articles that report on research. </w:t>
      </w:r>
    </w:p>
    <w:p w14:paraId="61FE6359" w14:textId="39369421" w:rsidR="00224FAD" w:rsidRDefault="00224FAD" w:rsidP="00F87A78">
      <w:pPr>
        <w:pStyle w:val="ListParagraph"/>
        <w:numPr>
          <w:ilvl w:val="0"/>
          <w:numId w:val="9"/>
        </w:numPr>
        <w:rPr>
          <w:rFonts w:cs="Times New Roman"/>
          <w:color w:val="000000" w:themeColor="text1"/>
        </w:rPr>
      </w:pPr>
      <w:r w:rsidRPr="003D196C">
        <w:rPr>
          <w:rFonts w:cs="Times New Roman"/>
          <w:color w:val="000000" w:themeColor="text1"/>
        </w:rPr>
        <w:t xml:space="preserve">Other types of contributions include scholarly review articles, books or book chapters, patents or other intellectual property, and publicly available research products. </w:t>
      </w:r>
    </w:p>
    <w:p w14:paraId="7DDD88EE" w14:textId="1E0F5152" w:rsidR="008570E9" w:rsidRPr="00881E73" w:rsidRDefault="008570E9" w:rsidP="008570E9">
      <w:pPr>
        <w:pStyle w:val="ListParagraph"/>
        <w:numPr>
          <w:ilvl w:val="0"/>
          <w:numId w:val="9"/>
        </w:numPr>
        <w:rPr>
          <w:rFonts w:cs="Times New Roman"/>
          <w:color w:val="000000" w:themeColor="text1"/>
        </w:rPr>
      </w:pPr>
      <w:r>
        <w:rPr>
          <w:rFonts w:cs="Times New Roman"/>
          <w:color w:val="000000" w:themeColor="text1"/>
        </w:rPr>
        <w:t>Further evidence for research excellence includes grants, awards, and selection for keynote talks.</w:t>
      </w:r>
    </w:p>
    <w:p w14:paraId="2A706A67" w14:textId="2EA308FA" w:rsidR="00374F1C" w:rsidRPr="00374F1C" w:rsidRDefault="008843DB" w:rsidP="00EE3CF2">
      <w:pPr>
        <w:pStyle w:val="ListParagraph"/>
        <w:widowControl w:val="0"/>
        <w:numPr>
          <w:ilvl w:val="0"/>
          <w:numId w:val="9"/>
        </w:numPr>
        <w:autoSpaceDE w:val="0"/>
        <w:autoSpaceDN w:val="0"/>
        <w:adjustRightInd w:val="0"/>
        <w:rPr>
          <w:rFonts w:cs="Times New Roman"/>
          <w:color w:val="000000" w:themeColor="text1"/>
        </w:rPr>
      </w:pPr>
      <w:r>
        <w:rPr>
          <w:rFonts w:cs="Times New Roman"/>
          <w:color w:val="000000" w:themeColor="text1"/>
        </w:rPr>
        <w:t>L</w:t>
      </w:r>
      <w:r w:rsidR="00374F1C" w:rsidRPr="003D196C">
        <w:rPr>
          <w:rFonts w:cs="Times New Roman"/>
          <w:color w:val="000000" w:themeColor="text1"/>
        </w:rPr>
        <w:t>etters from outside experts who evaluate contributions to biolog</w:t>
      </w:r>
      <w:r w:rsidR="008570E9">
        <w:rPr>
          <w:rFonts w:cs="Times New Roman"/>
          <w:color w:val="000000" w:themeColor="text1"/>
        </w:rPr>
        <w:t xml:space="preserve">ical or pedagogical </w:t>
      </w:r>
      <w:r w:rsidR="00374F1C">
        <w:rPr>
          <w:rFonts w:cs="Times New Roman"/>
          <w:color w:val="000000" w:themeColor="text1"/>
        </w:rPr>
        <w:t>research</w:t>
      </w:r>
      <w:r>
        <w:rPr>
          <w:rFonts w:cs="Times New Roman"/>
          <w:color w:val="000000" w:themeColor="text1"/>
        </w:rPr>
        <w:t xml:space="preserve"> will be considered in promotions.</w:t>
      </w:r>
    </w:p>
    <w:p w14:paraId="4AADCDF4" w14:textId="77777777" w:rsidR="00224FAD" w:rsidRPr="003D196C" w:rsidRDefault="00224FAD" w:rsidP="001E2586">
      <w:pPr>
        <w:spacing w:after="200"/>
        <w:rPr>
          <w:rFonts w:ascii="Times New Roman" w:hAnsi="Times New Roman" w:cs="Times New Roman"/>
          <w:iCs/>
        </w:rPr>
      </w:pPr>
    </w:p>
    <w:p w14:paraId="1CB4120E" w14:textId="77777777" w:rsidR="007A405D" w:rsidRPr="003D196C" w:rsidRDefault="007A405D" w:rsidP="00977508">
      <w:pPr>
        <w:widowControl w:val="0"/>
        <w:autoSpaceDE w:val="0"/>
        <w:autoSpaceDN w:val="0"/>
        <w:adjustRightInd w:val="0"/>
        <w:ind w:left="360"/>
        <w:rPr>
          <w:rFonts w:ascii="Times New Roman" w:hAnsi="Times New Roman" w:cs="Times New Roman"/>
        </w:rPr>
      </w:pPr>
    </w:p>
    <w:p w14:paraId="40C1F5BA" w14:textId="6AA4BFFF" w:rsidR="0037437F" w:rsidRPr="000919CD" w:rsidRDefault="007A405D" w:rsidP="007A405D">
      <w:pPr>
        <w:widowControl w:val="0"/>
        <w:autoSpaceDE w:val="0"/>
        <w:autoSpaceDN w:val="0"/>
        <w:adjustRightInd w:val="0"/>
        <w:rPr>
          <w:rFonts w:ascii="Times New Roman" w:hAnsi="Times New Roman" w:cs="Times New Roman"/>
          <w:b/>
          <w:bCs/>
        </w:rPr>
      </w:pPr>
      <w:r w:rsidRPr="003D196C" w:rsidDel="007F53CD">
        <w:rPr>
          <w:rFonts w:ascii="Times New Roman" w:hAnsi="Times New Roman" w:cs="Times New Roman"/>
          <w:b/>
          <w:bCs/>
        </w:rPr>
        <w:t xml:space="preserve"> </w:t>
      </w:r>
      <w:r w:rsidRPr="000919CD">
        <w:rPr>
          <w:rFonts w:ascii="Times New Roman" w:hAnsi="Times New Roman" w:cs="Times New Roman"/>
          <w:b/>
          <w:bCs/>
        </w:rPr>
        <w:t xml:space="preserve">(4) Service </w:t>
      </w:r>
    </w:p>
    <w:p w14:paraId="19D561E7" w14:textId="77777777" w:rsidR="0037437F" w:rsidRPr="003D196C" w:rsidRDefault="0037437F" w:rsidP="007A405D">
      <w:pPr>
        <w:widowControl w:val="0"/>
        <w:autoSpaceDE w:val="0"/>
        <w:autoSpaceDN w:val="0"/>
        <w:adjustRightInd w:val="0"/>
        <w:rPr>
          <w:rFonts w:ascii="Times New Roman" w:hAnsi="Times New Roman" w:cs="Times New Roman"/>
        </w:rPr>
      </w:pPr>
    </w:p>
    <w:p w14:paraId="0CE673E7" w14:textId="01086CB4" w:rsidR="0037437F" w:rsidRPr="00881E73" w:rsidRDefault="0037437F" w:rsidP="00881E73">
      <w:pPr>
        <w:autoSpaceDE w:val="0"/>
        <w:autoSpaceDN w:val="0"/>
        <w:adjustRightInd w:val="0"/>
        <w:rPr>
          <w:rFonts w:ascii="Times New Roman" w:hAnsi="Times New Roman" w:cs="Times New Roman"/>
        </w:rPr>
      </w:pPr>
      <w:r w:rsidRPr="003D196C">
        <w:rPr>
          <w:rFonts w:ascii="Times New Roman" w:eastAsia="Times New Roman" w:hAnsi="Times New Roman" w:cs="Times New Roman"/>
        </w:rPr>
        <w:t xml:space="preserve">University, professional, and public service are expected, valued contributions from faculty and are evaluated as a component of </w:t>
      </w:r>
      <w:r w:rsidR="00E31FD7">
        <w:rPr>
          <w:rFonts w:ascii="Times New Roman" w:eastAsia="Times New Roman" w:hAnsi="Times New Roman" w:cs="Times New Roman"/>
        </w:rPr>
        <w:t>merit and promotion</w:t>
      </w:r>
      <w:r w:rsidR="00E31FD7" w:rsidRPr="003D196C">
        <w:rPr>
          <w:rFonts w:ascii="Times New Roman" w:eastAsia="Times New Roman" w:hAnsi="Times New Roman" w:cs="Times New Roman"/>
        </w:rPr>
        <w:t xml:space="preserve"> </w:t>
      </w:r>
      <w:r w:rsidRPr="003D196C">
        <w:rPr>
          <w:rFonts w:ascii="Times New Roman" w:eastAsia="Times New Roman" w:hAnsi="Times New Roman" w:cs="Times New Roman"/>
        </w:rPr>
        <w:t xml:space="preserve">files for Professors </w:t>
      </w:r>
      <w:r w:rsidR="00E31FD7">
        <w:rPr>
          <w:rFonts w:ascii="Times New Roman" w:eastAsia="Times New Roman" w:hAnsi="Times New Roman" w:cs="Times New Roman"/>
        </w:rPr>
        <w:t>of</w:t>
      </w:r>
      <w:r w:rsidR="00E31FD7" w:rsidRPr="003D196C">
        <w:rPr>
          <w:rFonts w:ascii="Times New Roman" w:eastAsia="Times New Roman" w:hAnsi="Times New Roman" w:cs="Times New Roman"/>
        </w:rPr>
        <w:t xml:space="preserve"> </w:t>
      </w:r>
      <w:r w:rsidRPr="003D196C">
        <w:rPr>
          <w:rFonts w:ascii="Times New Roman" w:eastAsia="Times New Roman" w:hAnsi="Times New Roman" w:cs="Times New Roman"/>
        </w:rPr>
        <w:t xml:space="preserve">Teaching. </w:t>
      </w:r>
    </w:p>
    <w:p w14:paraId="4B2539AA" w14:textId="5BA4E09D" w:rsidR="005A1961" w:rsidRDefault="005A1961" w:rsidP="007A405D">
      <w:pPr>
        <w:widowControl w:val="0"/>
        <w:autoSpaceDE w:val="0"/>
        <w:autoSpaceDN w:val="0"/>
        <w:adjustRightInd w:val="0"/>
        <w:rPr>
          <w:rFonts w:ascii="Times New Roman" w:hAnsi="Times New Roman" w:cs="Times New Roman"/>
        </w:rPr>
      </w:pPr>
    </w:p>
    <w:p w14:paraId="5F49DCF8" w14:textId="0B3587E2" w:rsidR="00D82F4A" w:rsidRDefault="00D82F4A" w:rsidP="007A405D">
      <w:pPr>
        <w:widowControl w:val="0"/>
        <w:autoSpaceDE w:val="0"/>
        <w:autoSpaceDN w:val="0"/>
        <w:adjustRightInd w:val="0"/>
        <w:rPr>
          <w:rFonts w:ascii="Times New Roman" w:hAnsi="Times New Roman" w:cs="Times New Roman"/>
        </w:rPr>
      </w:pPr>
      <w:r>
        <w:rPr>
          <w:rFonts w:ascii="Times New Roman" w:hAnsi="Times New Roman" w:cs="Times New Roman"/>
        </w:rPr>
        <w:t>Examples of University service:</w:t>
      </w:r>
    </w:p>
    <w:p w14:paraId="1FAAA0ED" w14:textId="77777777" w:rsidR="00D82F4A" w:rsidRDefault="00D82F4A" w:rsidP="007A405D">
      <w:pPr>
        <w:widowControl w:val="0"/>
        <w:autoSpaceDE w:val="0"/>
        <w:autoSpaceDN w:val="0"/>
        <w:adjustRightInd w:val="0"/>
        <w:rPr>
          <w:rFonts w:ascii="Times New Roman" w:hAnsi="Times New Roman" w:cs="Times New Roman"/>
        </w:rPr>
      </w:pPr>
    </w:p>
    <w:p w14:paraId="2ADB3AD2" w14:textId="65BA3B0C" w:rsidR="00D82F4A" w:rsidRPr="003D196C" w:rsidRDefault="00D82F4A" w:rsidP="00D82F4A">
      <w:pPr>
        <w:pStyle w:val="ListParagraph"/>
        <w:widowControl w:val="0"/>
        <w:numPr>
          <w:ilvl w:val="0"/>
          <w:numId w:val="1"/>
        </w:numPr>
        <w:autoSpaceDE w:val="0"/>
        <w:autoSpaceDN w:val="0"/>
        <w:adjustRightInd w:val="0"/>
        <w:rPr>
          <w:rFonts w:cs="Times New Roman"/>
        </w:rPr>
      </w:pPr>
      <w:r w:rsidRPr="003D196C">
        <w:rPr>
          <w:rFonts w:cs="Times New Roman"/>
        </w:rPr>
        <w:t>Service on Department, School</w:t>
      </w:r>
      <w:r w:rsidR="005551EE">
        <w:rPr>
          <w:rFonts w:cs="Times New Roman"/>
        </w:rPr>
        <w:t xml:space="preserve">, or </w:t>
      </w:r>
      <w:r w:rsidRPr="003D196C">
        <w:rPr>
          <w:rFonts w:cs="Times New Roman"/>
        </w:rPr>
        <w:t xml:space="preserve">University Committees including graduate and undergraduate education, </w:t>
      </w:r>
      <w:proofErr w:type="gramStart"/>
      <w:r w:rsidRPr="003D196C">
        <w:rPr>
          <w:rFonts w:cs="Times New Roman"/>
        </w:rPr>
        <w:t>merit</w:t>
      </w:r>
      <w:proofErr w:type="gramEnd"/>
      <w:r w:rsidRPr="003D196C">
        <w:rPr>
          <w:rFonts w:cs="Times New Roman"/>
        </w:rPr>
        <w:t xml:space="preserve"> and promotion, hiring, and graduate admissions.</w:t>
      </w:r>
    </w:p>
    <w:p w14:paraId="69A1B4EB" w14:textId="6EBDC9DD" w:rsidR="00B80B75" w:rsidRDefault="00B80B75" w:rsidP="00D82F4A">
      <w:pPr>
        <w:pStyle w:val="ListParagraph"/>
        <w:widowControl w:val="0"/>
        <w:numPr>
          <w:ilvl w:val="0"/>
          <w:numId w:val="1"/>
        </w:numPr>
        <w:autoSpaceDE w:val="0"/>
        <w:autoSpaceDN w:val="0"/>
        <w:adjustRightInd w:val="0"/>
        <w:rPr>
          <w:rFonts w:cs="Times New Roman"/>
          <w:iCs/>
        </w:rPr>
      </w:pPr>
      <w:r>
        <w:rPr>
          <w:rFonts w:cs="Times New Roman"/>
          <w:iCs/>
        </w:rPr>
        <w:t xml:space="preserve">Administrative </w:t>
      </w:r>
      <w:proofErr w:type="gramStart"/>
      <w:r>
        <w:rPr>
          <w:rFonts w:cs="Times New Roman"/>
          <w:iCs/>
        </w:rPr>
        <w:t xml:space="preserve">work, </w:t>
      </w:r>
      <w:r w:rsidR="00D82F4A" w:rsidRPr="003D196C">
        <w:rPr>
          <w:rFonts w:cs="Times New Roman"/>
          <w:iCs/>
        </w:rPr>
        <w:t xml:space="preserve"> </w:t>
      </w:r>
      <w:r>
        <w:rPr>
          <w:rFonts w:cs="Times New Roman"/>
          <w:iCs/>
        </w:rPr>
        <w:t>such</w:t>
      </w:r>
      <w:proofErr w:type="gramEnd"/>
      <w:r>
        <w:rPr>
          <w:rFonts w:cs="Times New Roman"/>
          <w:iCs/>
        </w:rPr>
        <w:t xml:space="preserve"> as in</w:t>
      </w:r>
      <w:r w:rsidR="00D82F4A" w:rsidRPr="003D196C">
        <w:rPr>
          <w:rFonts w:cs="Times New Roman"/>
          <w:iCs/>
        </w:rPr>
        <w:t xml:space="preserve"> learning centers and teaching programs </w:t>
      </w:r>
    </w:p>
    <w:p w14:paraId="376C50B9" w14:textId="01F60A04" w:rsidR="00D82F4A" w:rsidRPr="003D196C" w:rsidRDefault="00D82F4A" w:rsidP="00D82F4A">
      <w:pPr>
        <w:pStyle w:val="ListParagraph"/>
        <w:widowControl w:val="0"/>
        <w:numPr>
          <w:ilvl w:val="0"/>
          <w:numId w:val="1"/>
        </w:numPr>
        <w:autoSpaceDE w:val="0"/>
        <w:autoSpaceDN w:val="0"/>
        <w:adjustRightInd w:val="0"/>
        <w:rPr>
          <w:rFonts w:cs="Times New Roman"/>
          <w:iCs/>
        </w:rPr>
      </w:pPr>
      <w:r w:rsidRPr="003D196C">
        <w:rPr>
          <w:rFonts w:cs="Times New Roman"/>
          <w:iCs/>
        </w:rPr>
        <w:t xml:space="preserve"> </w:t>
      </w:r>
      <w:r w:rsidR="00B80B75">
        <w:rPr>
          <w:rFonts w:cs="Times New Roman"/>
          <w:iCs/>
        </w:rPr>
        <w:t>P</w:t>
      </w:r>
      <w:r w:rsidRPr="003D196C">
        <w:rPr>
          <w:rFonts w:cs="Times New Roman"/>
          <w:iCs/>
        </w:rPr>
        <w:t>articipation in scholarly activities (e.g., summer seminars) designed to enhance scholarly expertise in relevant fields.</w:t>
      </w:r>
    </w:p>
    <w:p w14:paraId="51619928" w14:textId="673F1EEA" w:rsidR="00D82F4A" w:rsidRPr="00F8172C" w:rsidRDefault="00D82F4A" w:rsidP="00D82F4A">
      <w:pPr>
        <w:pStyle w:val="ListParagraph"/>
        <w:widowControl w:val="0"/>
        <w:numPr>
          <w:ilvl w:val="0"/>
          <w:numId w:val="1"/>
        </w:numPr>
        <w:autoSpaceDE w:val="0"/>
        <w:autoSpaceDN w:val="0"/>
        <w:adjustRightInd w:val="0"/>
        <w:rPr>
          <w:rFonts w:cs="Times New Roman"/>
          <w:iCs/>
        </w:rPr>
      </w:pPr>
      <w:r w:rsidRPr="003D196C">
        <w:rPr>
          <w:rFonts w:cs="Times New Roman"/>
          <w:iCs/>
        </w:rPr>
        <w:t xml:space="preserve">Service to students, </w:t>
      </w:r>
      <w:r w:rsidRPr="003D196C">
        <w:rPr>
          <w:rFonts w:cs="Times New Roman"/>
          <w:color w:val="000000"/>
        </w:rPr>
        <w:t>including writing letters of recommendation, contributions to mentoring clubs, doing outreach, running workshops.</w:t>
      </w:r>
    </w:p>
    <w:p w14:paraId="5FBE07F1" w14:textId="788A3272" w:rsidR="00D82F4A" w:rsidRPr="00D82F4A" w:rsidRDefault="00D82F4A" w:rsidP="00D82F4A">
      <w:pPr>
        <w:pStyle w:val="ListParagraph"/>
        <w:numPr>
          <w:ilvl w:val="0"/>
          <w:numId w:val="1"/>
        </w:numPr>
        <w:autoSpaceDE w:val="0"/>
        <w:autoSpaceDN w:val="0"/>
        <w:adjustRightInd w:val="0"/>
        <w:rPr>
          <w:rFonts w:cs="Times New Roman"/>
        </w:rPr>
      </w:pPr>
      <w:r w:rsidRPr="00D82F4A">
        <w:rPr>
          <w:rFonts w:eastAsia="Times New Roman" w:cs="Times New Roman"/>
        </w:rPr>
        <w:t xml:space="preserve">Expectations for </w:t>
      </w:r>
      <w:r>
        <w:rPr>
          <w:rFonts w:eastAsia="Times New Roman" w:cs="Times New Roman"/>
        </w:rPr>
        <w:t xml:space="preserve">University </w:t>
      </w:r>
      <w:r w:rsidRPr="00D82F4A">
        <w:rPr>
          <w:rFonts w:eastAsia="Times New Roman" w:cs="Times New Roman"/>
        </w:rPr>
        <w:t xml:space="preserve">service </w:t>
      </w:r>
      <w:r w:rsidRPr="00D82F4A">
        <w:rPr>
          <w:rFonts w:cs="Times New Roman"/>
        </w:rPr>
        <w:t>expand in breadth and leadership as faculty promote and advance.</w:t>
      </w:r>
      <w:r>
        <w:rPr>
          <w:rFonts w:cs="Times New Roman"/>
        </w:rPr>
        <w:t xml:space="preserve">  </w:t>
      </w:r>
      <w:proofErr w:type="spellStart"/>
      <w:r w:rsidR="007B5BD3">
        <w:rPr>
          <w:rFonts w:cs="Times New Roman"/>
        </w:rPr>
        <w:t>PoT</w:t>
      </w:r>
      <w:proofErr w:type="spellEnd"/>
      <w:r w:rsidR="007B5BD3">
        <w:rPr>
          <w:rFonts w:cs="Times New Roman"/>
        </w:rPr>
        <w:t xml:space="preserve"> faculty will be increasingly expected to extend service beyond the Department and School</w:t>
      </w:r>
      <w:r w:rsidR="006F32DE">
        <w:rPr>
          <w:rFonts w:cs="Times New Roman"/>
        </w:rPr>
        <w:t xml:space="preserve"> and </w:t>
      </w:r>
      <w:r w:rsidR="005551EE">
        <w:rPr>
          <w:rFonts w:cs="Times New Roman"/>
        </w:rPr>
        <w:t>expand</w:t>
      </w:r>
      <w:r w:rsidR="006F32DE">
        <w:rPr>
          <w:rFonts w:cs="Times New Roman"/>
        </w:rPr>
        <w:t xml:space="preserve"> leadership in their contributions</w:t>
      </w:r>
      <w:r w:rsidR="007B5BD3">
        <w:rPr>
          <w:rFonts w:cs="Times New Roman"/>
        </w:rPr>
        <w:t xml:space="preserve">.  </w:t>
      </w:r>
      <w:r w:rsidR="006F32DE">
        <w:rPr>
          <w:rFonts w:cs="Times New Roman"/>
        </w:rPr>
        <w:t>Examples of broader service at higher ranks include</w:t>
      </w:r>
      <w:r w:rsidR="007B5BD3">
        <w:rPr>
          <w:rFonts w:cs="Times New Roman"/>
        </w:rPr>
        <w:t xml:space="preserve"> </w:t>
      </w:r>
      <w:r w:rsidR="006F32DE">
        <w:rPr>
          <w:rFonts w:cs="Times New Roman"/>
        </w:rPr>
        <w:t xml:space="preserve">service on committees of the campus, Academic Senate, or Systemwide, </w:t>
      </w:r>
      <w:r w:rsidR="00961D4F">
        <w:rPr>
          <w:rFonts w:cs="Times New Roman"/>
        </w:rPr>
        <w:t>as well as</w:t>
      </w:r>
      <w:r w:rsidR="006F32DE">
        <w:rPr>
          <w:rFonts w:cs="Times New Roman"/>
        </w:rPr>
        <w:t xml:space="preserve"> </w:t>
      </w:r>
      <w:r w:rsidR="007B5BD3">
        <w:rPr>
          <w:rFonts w:cs="Times New Roman"/>
        </w:rPr>
        <w:t>leadership roles in service, such as chairing committees, directing programs</w:t>
      </w:r>
      <w:r w:rsidR="001E50DF">
        <w:rPr>
          <w:rFonts w:cs="Times New Roman"/>
        </w:rPr>
        <w:t xml:space="preserve"> or centers</w:t>
      </w:r>
      <w:r w:rsidR="007B5BD3">
        <w:rPr>
          <w:rFonts w:cs="Times New Roman"/>
        </w:rPr>
        <w:t>, etc.</w:t>
      </w:r>
    </w:p>
    <w:p w14:paraId="05475C6C" w14:textId="77777777" w:rsidR="00D82F4A" w:rsidRDefault="00D82F4A" w:rsidP="007A405D">
      <w:pPr>
        <w:widowControl w:val="0"/>
        <w:autoSpaceDE w:val="0"/>
        <w:autoSpaceDN w:val="0"/>
        <w:adjustRightInd w:val="0"/>
        <w:rPr>
          <w:rFonts w:ascii="Times New Roman" w:hAnsi="Times New Roman" w:cs="Times New Roman"/>
        </w:rPr>
      </w:pPr>
    </w:p>
    <w:p w14:paraId="4325555D" w14:textId="56EAF020" w:rsidR="007A405D" w:rsidRPr="003D196C" w:rsidRDefault="00D82F4A" w:rsidP="007A405D">
      <w:pPr>
        <w:widowControl w:val="0"/>
        <w:autoSpaceDE w:val="0"/>
        <w:autoSpaceDN w:val="0"/>
        <w:adjustRightInd w:val="0"/>
        <w:rPr>
          <w:rFonts w:ascii="Times New Roman" w:hAnsi="Times New Roman" w:cs="Times New Roman"/>
        </w:rPr>
      </w:pPr>
      <w:r>
        <w:rPr>
          <w:rFonts w:ascii="Times New Roman" w:hAnsi="Times New Roman" w:cs="Times New Roman"/>
        </w:rPr>
        <w:t>Examples of professional and public service:</w:t>
      </w:r>
    </w:p>
    <w:p w14:paraId="0A48A60F" w14:textId="77777777" w:rsidR="00E97D9B" w:rsidRPr="003D196C" w:rsidRDefault="00E97D9B" w:rsidP="007A405D">
      <w:pPr>
        <w:widowControl w:val="0"/>
        <w:autoSpaceDE w:val="0"/>
        <w:autoSpaceDN w:val="0"/>
        <w:adjustRightInd w:val="0"/>
        <w:rPr>
          <w:rFonts w:ascii="Times New Roman" w:hAnsi="Times New Roman" w:cs="Times New Roman"/>
        </w:rPr>
      </w:pPr>
    </w:p>
    <w:p w14:paraId="530F8475" w14:textId="77777777" w:rsidR="00B80B75" w:rsidRDefault="00D82F4A" w:rsidP="00D82F4A">
      <w:pPr>
        <w:pStyle w:val="ListParagraph"/>
        <w:widowControl w:val="0"/>
        <w:numPr>
          <w:ilvl w:val="0"/>
          <w:numId w:val="5"/>
        </w:numPr>
        <w:autoSpaceDE w:val="0"/>
        <w:autoSpaceDN w:val="0"/>
        <w:adjustRightInd w:val="0"/>
        <w:rPr>
          <w:rFonts w:cs="Times New Roman"/>
        </w:rPr>
      </w:pPr>
      <w:r>
        <w:rPr>
          <w:rFonts w:cs="Times New Roman"/>
        </w:rPr>
        <w:t>S</w:t>
      </w:r>
      <w:r w:rsidR="00F9041C" w:rsidRPr="003D196C">
        <w:rPr>
          <w:rFonts w:cs="Times New Roman"/>
        </w:rPr>
        <w:t xml:space="preserve">ervice as reviewer of grants/papers, </w:t>
      </w:r>
      <w:r w:rsidR="00F9041C" w:rsidRPr="00D82F4A">
        <w:rPr>
          <w:rFonts w:cs="Times New Roman"/>
        </w:rPr>
        <w:t>editor, study section,</w:t>
      </w:r>
    </w:p>
    <w:p w14:paraId="201735B0" w14:textId="54A890FE" w:rsidR="00F9041C" w:rsidRPr="00D82F4A" w:rsidRDefault="00B80B75" w:rsidP="00D82F4A">
      <w:pPr>
        <w:pStyle w:val="ListParagraph"/>
        <w:widowControl w:val="0"/>
        <w:numPr>
          <w:ilvl w:val="0"/>
          <w:numId w:val="5"/>
        </w:numPr>
        <w:autoSpaceDE w:val="0"/>
        <w:autoSpaceDN w:val="0"/>
        <w:adjustRightInd w:val="0"/>
        <w:rPr>
          <w:rFonts w:cs="Times New Roman"/>
        </w:rPr>
      </w:pPr>
      <w:r>
        <w:rPr>
          <w:rFonts w:cs="Times New Roman"/>
        </w:rPr>
        <w:t>O</w:t>
      </w:r>
      <w:r w:rsidR="00D82F4A" w:rsidRPr="00D82F4A">
        <w:rPr>
          <w:rFonts w:cs="Times New Roman"/>
        </w:rPr>
        <w:t xml:space="preserve">rganizing conferences, </w:t>
      </w:r>
      <w:r w:rsidR="00F9041C" w:rsidRPr="00D82F4A">
        <w:rPr>
          <w:rFonts w:cs="Times New Roman"/>
        </w:rPr>
        <w:t>service in professional societies</w:t>
      </w:r>
      <w:r w:rsidR="007B5BD3">
        <w:rPr>
          <w:rFonts w:cs="Times New Roman"/>
        </w:rPr>
        <w:t>.</w:t>
      </w:r>
    </w:p>
    <w:p w14:paraId="3573692B" w14:textId="270C975D" w:rsidR="007A405D" w:rsidRPr="003D196C" w:rsidRDefault="00D82F4A" w:rsidP="007A405D">
      <w:pPr>
        <w:pStyle w:val="ListParagraph"/>
        <w:widowControl w:val="0"/>
        <w:numPr>
          <w:ilvl w:val="0"/>
          <w:numId w:val="5"/>
        </w:numPr>
        <w:autoSpaceDE w:val="0"/>
        <w:autoSpaceDN w:val="0"/>
        <w:adjustRightInd w:val="0"/>
        <w:rPr>
          <w:rFonts w:cs="Times New Roman"/>
        </w:rPr>
      </w:pPr>
      <w:r>
        <w:rPr>
          <w:rFonts w:cs="Times New Roman"/>
        </w:rPr>
        <w:t>Community o</w:t>
      </w:r>
      <w:r w:rsidRPr="003D196C">
        <w:rPr>
          <w:rFonts w:cs="Times New Roman"/>
        </w:rPr>
        <w:t xml:space="preserve">utreach </w:t>
      </w:r>
      <w:r>
        <w:rPr>
          <w:rFonts w:cs="Times New Roman"/>
        </w:rPr>
        <w:t>e</w:t>
      </w:r>
      <w:r w:rsidRPr="003D196C">
        <w:rPr>
          <w:rFonts w:cs="Times New Roman"/>
        </w:rPr>
        <w:t xml:space="preserve">ducation </w:t>
      </w:r>
      <w:r>
        <w:rPr>
          <w:rFonts w:cs="Times New Roman"/>
        </w:rPr>
        <w:t>p</w:t>
      </w:r>
      <w:r w:rsidRPr="003D196C">
        <w:rPr>
          <w:rFonts w:cs="Times New Roman"/>
        </w:rPr>
        <w:t>rograms</w:t>
      </w:r>
      <w:r w:rsidR="007A405D" w:rsidRPr="003D196C">
        <w:rPr>
          <w:rFonts w:cs="Times New Roman"/>
        </w:rPr>
        <w:t>, etc.</w:t>
      </w:r>
    </w:p>
    <w:p w14:paraId="39FEF9D9" w14:textId="4F28196A" w:rsidR="005A1961" w:rsidRPr="003D196C" w:rsidRDefault="005A1961" w:rsidP="00881E73">
      <w:pPr>
        <w:pStyle w:val="ListParagraph"/>
        <w:widowControl w:val="0"/>
        <w:autoSpaceDE w:val="0"/>
        <w:autoSpaceDN w:val="0"/>
        <w:adjustRightInd w:val="0"/>
        <w:rPr>
          <w:rFonts w:cs="Times New Roman"/>
          <w:iCs/>
        </w:rPr>
      </w:pPr>
    </w:p>
    <w:p w14:paraId="1412CE6D" w14:textId="77777777" w:rsidR="0037437F" w:rsidRPr="006D59FC" w:rsidRDefault="0037437F" w:rsidP="000919CD">
      <w:pPr>
        <w:widowControl w:val="0"/>
        <w:autoSpaceDE w:val="0"/>
        <w:autoSpaceDN w:val="0"/>
        <w:adjustRightInd w:val="0"/>
        <w:rPr>
          <w:rFonts w:cs="Times New Roman"/>
          <w:iCs/>
        </w:rPr>
      </w:pPr>
    </w:p>
    <w:p w14:paraId="5DFF065F" w14:textId="01F75A57" w:rsidR="0037437F" w:rsidRPr="003D196C" w:rsidRDefault="0037437F" w:rsidP="000E2CBB">
      <w:pPr>
        <w:pStyle w:val="ListParagraph"/>
        <w:ind w:left="0"/>
        <w:rPr>
          <w:rFonts w:eastAsia="Times New Roman" w:cs="Times New Roman"/>
          <w:b/>
          <w:bCs/>
        </w:rPr>
      </w:pPr>
      <w:r w:rsidRPr="003D196C">
        <w:rPr>
          <w:rFonts w:eastAsia="Times New Roman" w:cs="Times New Roman"/>
          <w:b/>
          <w:bCs/>
        </w:rPr>
        <w:t>(5) Inclusive Excellence</w:t>
      </w:r>
    </w:p>
    <w:p w14:paraId="1BA4457A" w14:textId="77777777" w:rsidR="0037437F" w:rsidRPr="003D196C" w:rsidRDefault="0037437F" w:rsidP="000E2CBB">
      <w:pPr>
        <w:rPr>
          <w:rFonts w:ascii="Times New Roman" w:eastAsia="Times New Roman" w:hAnsi="Times New Roman" w:cs="Times New Roman"/>
        </w:rPr>
      </w:pPr>
    </w:p>
    <w:p w14:paraId="080A206E" w14:textId="112F6467" w:rsidR="0037437F" w:rsidRPr="000919CD" w:rsidRDefault="0037437F" w:rsidP="000E2CBB">
      <w:pPr>
        <w:pStyle w:val="CommentText"/>
        <w:rPr>
          <w:rFonts w:ascii="Times New Roman" w:hAnsi="Times New Roman" w:cs="Times New Roman"/>
          <w:color w:val="000000" w:themeColor="text1"/>
          <w:sz w:val="24"/>
          <w:szCs w:val="24"/>
        </w:rPr>
      </w:pPr>
      <w:r w:rsidRPr="000919CD">
        <w:rPr>
          <w:rFonts w:ascii="Times New Roman" w:hAnsi="Times New Roman" w:cs="Times New Roman"/>
          <w:color w:val="000000" w:themeColor="text1"/>
          <w:sz w:val="24"/>
          <w:szCs w:val="24"/>
        </w:rPr>
        <w:t xml:space="preserve">As a collective faculty, we value the principle of inclusive excellence in carrying out our three primary duties of research, teaching, and service. </w:t>
      </w:r>
      <w:r w:rsidRPr="000919CD">
        <w:rPr>
          <w:rFonts w:ascii="Times New Roman" w:eastAsia="Times New Roman" w:hAnsi="Times New Roman" w:cs="Times New Roman"/>
          <w:color w:val="000000" w:themeColor="text1"/>
          <w:sz w:val="24"/>
          <w:szCs w:val="24"/>
        </w:rPr>
        <w:t xml:space="preserve">Thus, rather than being considered in a separate category, they are considered as part of each of the three review criteria.  </w:t>
      </w:r>
      <w:r w:rsidR="00A72B90" w:rsidRPr="000919CD">
        <w:rPr>
          <w:rFonts w:ascii="Times New Roman" w:eastAsia="Times New Roman" w:hAnsi="Times New Roman" w:cs="Times New Roman"/>
          <w:color w:val="000000" w:themeColor="text1"/>
          <w:sz w:val="24"/>
          <w:szCs w:val="24"/>
        </w:rPr>
        <w:t>Examples of inclusive excellence activities related to each of the three pillars are indicated below.</w:t>
      </w:r>
    </w:p>
    <w:p w14:paraId="19325162" w14:textId="21BF581C" w:rsidR="006B67FD" w:rsidRPr="000919CD" w:rsidRDefault="006B67FD" w:rsidP="000E2CBB">
      <w:pPr>
        <w:rPr>
          <w:rFonts w:ascii="Times New Roman" w:hAnsi="Times New Roman" w:cs="Times New Roman"/>
          <w:color w:val="000000" w:themeColor="text1"/>
        </w:rPr>
      </w:pPr>
    </w:p>
    <w:p w14:paraId="1DA38C8B" w14:textId="7B29C48B" w:rsidR="00A72B90" w:rsidRPr="000919CD" w:rsidRDefault="000E2CBB" w:rsidP="000E2CBB">
      <w:pPr>
        <w:shd w:val="clear" w:color="auto" w:fill="FFFFFF"/>
        <w:rPr>
          <w:rFonts w:ascii="Times New Roman" w:eastAsia="Times New Roman" w:hAnsi="Times New Roman" w:cs="Times New Roman"/>
          <w:color w:val="000000" w:themeColor="text1"/>
        </w:rPr>
      </w:pPr>
      <w:r w:rsidRPr="000919CD">
        <w:rPr>
          <w:rFonts w:ascii="Times New Roman" w:eastAsia="Times New Roman" w:hAnsi="Times New Roman" w:cs="Times New Roman"/>
          <w:b/>
          <w:bCs/>
          <w:i/>
          <w:iCs/>
          <w:color w:val="000000" w:themeColor="text1"/>
          <w:bdr w:val="none" w:sz="0" w:space="0" w:color="auto" w:frame="1"/>
        </w:rPr>
        <w:t xml:space="preserve">Examples of </w:t>
      </w:r>
      <w:r w:rsidR="00A72B90" w:rsidRPr="000919CD">
        <w:rPr>
          <w:rFonts w:ascii="Times New Roman" w:eastAsia="Times New Roman" w:hAnsi="Times New Roman" w:cs="Times New Roman"/>
          <w:b/>
          <w:bCs/>
          <w:i/>
          <w:iCs/>
          <w:color w:val="000000" w:themeColor="text1"/>
          <w:bdr w:val="none" w:sz="0" w:space="0" w:color="auto" w:frame="1"/>
        </w:rPr>
        <w:t>Inclusive Excellence Activities Related to Teaching</w:t>
      </w:r>
      <w:r w:rsidR="00A72B90" w:rsidRPr="000919CD">
        <w:rPr>
          <w:rFonts w:ascii="Times New Roman" w:eastAsia="Times New Roman" w:hAnsi="Times New Roman" w:cs="Times New Roman"/>
          <w:color w:val="000000" w:themeColor="text1"/>
        </w:rPr>
        <w:br/>
        <w:t xml:space="preserve">Describe activities you engage in that contribute to creating an academic environment supportive </w:t>
      </w:r>
      <w:r w:rsidR="00A72B90" w:rsidRPr="000919CD">
        <w:rPr>
          <w:rFonts w:ascii="Times New Roman" w:eastAsia="Times New Roman" w:hAnsi="Times New Roman" w:cs="Times New Roman"/>
          <w:color w:val="000000" w:themeColor="text1"/>
        </w:rPr>
        <w:lastRenderedPageBreak/>
        <w:t>of all students, including those from underrepresented groups. Contributions may include but are not limited to:</w:t>
      </w:r>
    </w:p>
    <w:p w14:paraId="5BA57AD6" w14:textId="77777777" w:rsidR="00A72B90" w:rsidRPr="000919CD" w:rsidRDefault="00A72B90" w:rsidP="000E2CBB">
      <w:pPr>
        <w:shd w:val="clear" w:color="auto" w:fill="FFFFFF"/>
        <w:rPr>
          <w:rFonts w:ascii="Times New Roman" w:eastAsia="Times New Roman" w:hAnsi="Times New Roman" w:cs="Times New Roman"/>
          <w:color w:val="000000" w:themeColor="text1"/>
        </w:rPr>
      </w:pPr>
    </w:p>
    <w:p w14:paraId="29244E0D" w14:textId="04C1E60F" w:rsidR="00A72B90" w:rsidRPr="000919CD" w:rsidRDefault="00A72B90" w:rsidP="000E2CBB">
      <w:pPr>
        <w:shd w:val="clear" w:color="auto" w:fill="FFFFFF"/>
        <w:rPr>
          <w:rFonts w:ascii="Times New Roman" w:eastAsia="Times New Roman" w:hAnsi="Times New Roman" w:cs="Times New Roman"/>
          <w:color w:val="000000" w:themeColor="text1"/>
        </w:rPr>
      </w:pPr>
      <w:r w:rsidRPr="000919CD">
        <w:rPr>
          <w:rFonts w:ascii="Times New Roman" w:eastAsia="Times New Roman" w:hAnsi="Times New Roman" w:cs="Times New Roman"/>
          <w:color w:val="000000" w:themeColor="text1"/>
        </w:rPr>
        <w:t>Use or development of pedagogies addressing different learning styles:</w:t>
      </w:r>
    </w:p>
    <w:p w14:paraId="70D32495" w14:textId="77777777" w:rsidR="00A72B90" w:rsidRPr="000919CD" w:rsidRDefault="00A72B90" w:rsidP="000E2CBB">
      <w:pPr>
        <w:numPr>
          <w:ilvl w:val="2"/>
          <w:numId w:val="14"/>
        </w:numPr>
        <w:shd w:val="clear" w:color="auto" w:fill="FFFFFF"/>
        <w:rPr>
          <w:rFonts w:ascii="Times New Roman" w:eastAsia="Times New Roman" w:hAnsi="Times New Roman" w:cs="Times New Roman"/>
          <w:color w:val="000000" w:themeColor="text1"/>
        </w:rPr>
      </w:pPr>
      <w:r w:rsidRPr="000919CD">
        <w:rPr>
          <w:rFonts w:ascii="Times New Roman" w:eastAsia="Times New Roman" w:hAnsi="Times New Roman" w:cs="Times New Roman"/>
          <w:color w:val="000000" w:themeColor="text1"/>
        </w:rPr>
        <w:t>Design or teaching of courses that are tailored to meeting the needs of educationally disadvantaged students;</w:t>
      </w:r>
    </w:p>
    <w:p w14:paraId="61A3B4D2" w14:textId="77777777" w:rsidR="00A72B90" w:rsidRPr="000919CD" w:rsidRDefault="00A72B90" w:rsidP="000E2CBB">
      <w:pPr>
        <w:numPr>
          <w:ilvl w:val="2"/>
          <w:numId w:val="14"/>
        </w:numPr>
        <w:shd w:val="clear" w:color="auto" w:fill="FFFFFF"/>
        <w:rPr>
          <w:rFonts w:ascii="Times New Roman" w:eastAsia="Times New Roman" w:hAnsi="Times New Roman" w:cs="Times New Roman"/>
          <w:color w:val="000000" w:themeColor="text1"/>
        </w:rPr>
      </w:pPr>
      <w:r w:rsidRPr="000919CD">
        <w:rPr>
          <w:rFonts w:ascii="Times New Roman" w:eastAsia="Times New Roman" w:hAnsi="Times New Roman" w:cs="Times New Roman"/>
          <w:color w:val="000000" w:themeColor="text1"/>
        </w:rPr>
        <w:t>Development of particularly effective strategies for the educational advancement of students in various under-represented groups.</w:t>
      </w:r>
    </w:p>
    <w:p w14:paraId="06FC2B10" w14:textId="74FE7A38" w:rsidR="00A72B90" w:rsidRPr="000919CD" w:rsidRDefault="00A72B90" w:rsidP="000E2CBB">
      <w:pPr>
        <w:shd w:val="clear" w:color="auto" w:fill="FFFFFF"/>
        <w:rPr>
          <w:rFonts w:ascii="Times New Roman" w:eastAsia="Times New Roman" w:hAnsi="Times New Roman" w:cs="Times New Roman"/>
          <w:color w:val="000000" w:themeColor="text1"/>
        </w:rPr>
      </w:pPr>
      <w:r w:rsidRPr="000919CD">
        <w:rPr>
          <w:rFonts w:ascii="Times New Roman" w:eastAsia="Times New Roman" w:hAnsi="Times New Roman" w:cs="Times New Roman"/>
          <w:color w:val="000000" w:themeColor="text1"/>
        </w:rPr>
        <w:t>Teaching in programs that serve underrepresented groups:</w:t>
      </w:r>
    </w:p>
    <w:p w14:paraId="130CBDD6" w14:textId="77777777" w:rsidR="00A72B90" w:rsidRPr="000919CD" w:rsidRDefault="00A72B90" w:rsidP="000E2CBB">
      <w:pPr>
        <w:numPr>
          <w:ilvl w:val="2"/>
          <w:numId w:val="16"/>
        </w:numPr>
        <w:shd w:val="clear" w:color="auto" w:fill="FFFFFF"/>
        <w:rPr>
          <w:rFonts w:ascii="Times New Roman" w:eastAsia="Times New Roman" w:hAnsi="Times New Roman" w:cs="Times New Roman"/>
          <w:color w:val="000000" w:themeColor="text1"/>
        </w:rPr>
      </w:pPr>
      <w:r w:rsidRPr="000919CD">
        <w:rPr>
          <w:rFonts w:ascii="Times New Roman" w:eastAsia="Times New Roman" w:hAnsi="Times New Roman" w:cs="Times New Roman"/>
          <w:color w:val="000000" w:themeColor="text1"/>
        </w:rPr>
        <w:t>At local community colleges, bridge to college programs;</w:t>
      </w:r>
    </w:p>
    <w:p w14:paraId="41AB4CC9" w14:textId="095171C8" w:rsidR="00A72B90" w:rsidRPr="000919CD" w:rsidRDefault="00A72B90" w:rsidP="000E2CBB">
      <w:pPr>
        <w:numPr>
          <w:ilvl w:val="2"/>
          <w:numId w:val="16"/>
        </w:numPr>
        <w:shd w:val="clear" w:color="auto" w:fill="FFFFFF"/>
        <w:rPr>
          <w:rFonts w:ascii="Times New Roman" w:eastAsia="Times New Roman" w:hAnsi="Times New Roman" w:cs="Times New Roman"/>
          <w:color w:val="000000" w:themeColor="text1"/>
        </w:rPr>
      </w:pPr>
      <w:r w:rsidRPr="000919CD">
        <w:rPr>
          <w:rFonts w:ascii="Times New Roman" w:eastAsia="Times New Roman" w:hAnsi="Times New Roman" w:cs="Times New Roman"/>
          <w:color w:val="000000" w:themeColor="text1"/>
        </w:rPr>
        <w:t xml:space="preserve">Summer enrichment/internship programs with </w:t>
      </w:r>
      <w:r w:rsidR="00374F1C">
        <w:rPr>
          <w:rFonts w:ascii="Times New Roman" w:eastAsia="Times New Roman" w:hAnsi="Times New Roman" w:cs="Times New Roman"/>
          <w:color w:val="000000" w:themeColor="text1"/>
        </w:rPr>
        <w:t>Historically Black Colleges and Universities or other groups serving underrepresented groups.</w:t>
      </w:r>
    </w:p>
    <w:p w14:paraId="00707CE4" w14:textId="53280742" w:rsidR="00A72B90" w:rsidRPr="000919CD" w:rsidRDefault="00A72B90" w:rsidP="000E2CBB">
      <w:pPr>
        <w:shd w:val="clear" w:color="auto" w:fill="FFFFFF"/>
        <w:rPr>
          <w:rFonts w:ascii="Times New Roman" w:eastAsia="Times New Roman" w:hAnsi="Times New Roman" w:cs="Times New Roman"/>
          <w:color w:val="000000" w:themeColor="text1"/>
        </w:rPr>
      </w:pPr>
      <w:r w:rsidRPr="000919CD">
        <w:rPr>
          <w:rFonts w:ascii="Times New Roman" w:eastAsia="Times New Roman" w:hAnsi="Times New Roman" w:cs="Times New Roman"/>
          <w:color w:val="000000" w:themeColor="text1"/>
        </w:rPr>
        <w:t>Mentoring underrepresented students:</w:t>
      </w:r>
    </w:p>
    <w:p w14:paraId="7673D41F" w14:textId="1486C5A6" w:rsidR="00A72B90" w:rsidRPr="000919CD" w:rsidRDefault="00A72B90" w:rsidP="000E2CBB">
      <w:pPr>
        <w:numPr>
          <w:ilvl w:val="2"/>
          <w:numId w:val="15"/>
        </w:numPr>
        <w:shd w:val="clear" w:color="auto" w:fill="FFFFFF"/>
        <w:rPr>
          <w:rFonts w:ascii="Times New Roman" w:eastAsia="Times New Roman" w:hAnsi="Times New Roman" w:cs="Times New Roman"/>
          <w:color w:val="000000" w:themeColor="text1"/>
        </w:rPr>
      </w:pPr>
      <w:r w:rsidRPr="000919CD">
        <w:rPr>
          <w:rFonts w:ascii="Times New Roman" w:eastAsia="Times New Roman" w:hAnsi="Times New Roman" w:cs="Times New Roman"/>
          <w:color w:val="000000" w:themeColor="text1"/>
        </w:rPr>
        <w:t>In the research group or laboratory</w:t>
      </w:r>
      <w:r w:rsidR="0074476B">
        <w:rPr>
          <w:rFonts w:ascii="Times New Roman" w:eastAsia="Times New Roman" w:hAnsi="Times New Roman" w:cs="Times New Roman"/>
          <w:color w:val="000000" w:themeColor="text1"/>
        </w:rPr>
        <w:t>, including students in Bio Sci 199 and/or the Minority Science Program.</w:t>
      </w:r>
    </w:p>
    <w:p w14:paraId="549DAA4A" w14:textId="77777777" w:rsidR="00A72B90" w:rsidRPr="000919CD" w:rsidRDefault="00A72B90" w:rsidP="000E2CBB">
      <w:pPr>
        <w:numPr>
          <w:ilvl w:val="2"/>
          <w:numId w:val="15"/>
        </w:numPr>
        <w:shd w:val="clear" w:color="auto" w:fill="FFFFFF"/>
        <w:rPr>
          <w:rFonts w:ascii="Times New Roman" w:eastAsia="Times New Roman" w:hAnsi="Times New Roman" w:cs="Times New Roman"/>
          <w:color w:val="000000" w:themeColor="text1"/>
        </w:rPr>
      </w:pPr>
      <w:r w:rsidRPr="000919CD">
        <w:rPr>
          <w:rFonts w:ascii="Times New Roman" w:eastAsia="Times New Roman" w:hAnsi="Times New Roman" w:cs="Times New Roman"/>
          <w:color w:val="000000" w:themeColor="text1"/>
        </w:rPr>
        <w:t>Associated with guidance or counseling programs, such as UROP;</w:t>
      </w:r>
    </w:p>
    <w:p w14:paraId="0D44992D" w14:textId="77777777" w:rsidR="00A72B90" w:rsidRPr="000919CD" w:rsidRDefault="00A72B90" w:rsidP="000E2CBB">
      <w:pPr>
        <w:numPr>
          <w:ilvl w:val="2"/>
          <w:numId w:val="15"/>
        </w:numPr>
        <w:shd w:val="clear" w:color="auto" w:fill="FFFFFF"/>
        <w:rPr>
          <w:rFonts w:ascii="Times New Roman" w:eastAsia="Times New Roman" w:hAnsi="Times New Roman" w:cs="Times New Roman"/>
          <w:color w:val="000000" w:themeColor="text1"/>
        </w:rPr>
      </w:pPr>
      <w:r w:rsidRPr="000919CD">
        <w:rPr>
          <w:rFonts w:ascii="Times New Roman" w:eastAsia="Times New Roman" w:hAnsi="Times New Roman" w:cs="Times New Roman"/>
          <w:color w:val="000000" w:themeColor="text1"/>
        </w:rPr>
        <w:t>To build an inclusive pipeline into academia.</w:t>
      </w:r>
    </w:p>
    <w:p w14:paraId="2D45AF31" w14:textId="6A04845D" w:rsidR="00A72B90" w:rsidRPr="000919CD" w:rsidRDefault="00A72B90" w:rsidP="000E2CBB">
      <w:pPr>
        <w:shd w:val="clear" w:color="auto" w:fill="FFFFFF"/>
        <w:rPr>
          <w:rFonts w:ascii="Times New Roman" w:eastAsia="Times New Roman" w:hAnsi="Times New Roman" w:cs="Times New Roman"/>
          <w:color w:val="000000" w:themeColor="text1"/>
        </w:rPr>
      </w:pPr>
      <w:r w:rsidRPr="000919CD">
        <w:rPr>
          <w:rFonts w:ascii="Times New Roman" w:eastAsia="Times New Roman" w:hAnsi="Times New Roman" w:cs="Times New Roman"/>
          <w:color w:val="000000" w:themeColor="text1"/>
        </w:rPr>
        <w:t>Selection of course content to appropriately reflect diverse viewpoints, including work from scholars from underrepresented groups.</w:t>
      </w:r>
    </w:p>
    <w:p w14:paraId="7715F503" w14:textId="77777777" w:rsidR="000E2CBB" w:rsidRPr="000919CD" w:rsidRDefault="000E2CBB" w:rsidP="000E2CBB">
      <w:pPr>
        <w:shd w:val="clear" w:color="auto" w:fill="FFFFFF"/>
        <w:ind w:left="1152"/>
        <w:rPr>
          <w:rFonts w:ascii="Times New Roman" w:eastAsia="Times New Roman" w:hAnsi="Times New Roman" w:cs="Times New Roman"/>
          <w:color w:val="000000" w:themeColor="text1"/>
        </w:rPr>
      </w:pPr>
    </w:p>
    <w:p w14:paraId="439461EC" w14:textId="7FB2528D" w:rsidR="0037437F" w:rsidRPr="000919CD" w:rsidRDefault="0037437F" w:rsidP="000E2CBB">
      <w:pPr>
        <w:shd w:val="clear" w:color="auto" w:fill="FFFFFF"/>
        <w:rPr>
          <w:rFonts w:ascii="Times New Roman" w:eastAsia="Times New Roman" w:hAnsi="Times New Roman" w:cs="Times New Roman"/>
          <w:b/>
          <w:bCs/>
          <w:i/>
          <w:iCs/>
          <w:color w:val="000000" w:themeColor="text1"/>
        </w:rPr>
      </w:pPr>
      <w:r w:rsidRPr="000919CD">
        <w:rPr>
          <w:rFonts w:ascii="Times New Roman" w:eastAsia="Times New Roman" w:hAnsi="Times New Roman" w:cs="Times New Roman"/>
          <w:b/>
          <w:bCs/>
          <w:i/>
          <w:iCs/>
          <w:color w:val="000000" w:themeColor="text1"/>
        </w:rPr>
        <w:t>Examples of inclusive activities in research</w:t>
      </w:r>
    </w:p>
    <w:p w14:paraId="2E7D8416" w14:textId="77777777" w:rsidR="0037437F" w:rsidRPr="000919CD" w:rsidRDefault="0037437F" w:rsidP="000E2CBB">
      <w:pPr>
        <w:numPr>
          <w:ilvl w:val="1"/>
          <w:numId w:val="10"/>
        </w:numPr>
        <w:shd w:val="clear" w:color="auto" w:fill="FFFFFF"/>
        <w:rPr>
          <w:rFonts w:ascii="Times New Roman" w:eastAsia="Times New Roman" w:hAnsi="Times New Roman" w:cs="Times New Roman"/>
          <w:color w:val="000000" w:themeColor="text1"/>
        </w:rPr>
      </w:pPr>
      <w:r w:rsidRPr="000919CD">
        <w:rPr>
          <w:rFonts w:ascii="Times New Roman" w:eastAsia="Times New Roman" w:hAnsi="Times New Roman" w:cs="Times New Roman"/>
          <w:color w:val="000000" w:themeColor="text1"/>
        </w:rPr>
        <w:t>Addressing barriers facing underrepresented groups in access to education, health care, economy, social mobility or participation in creative endeavors;</w:t>
      </w:r>
    </w:p>
    <w:p w14:paraId="2041024E" w14:textId="77777777" w:rsidR="0037437F" w:rsidRPr="000919CD" w:rsidRDefault="0037437F" w:rsidP="000E2CBB">
      <w:pPr>
        <w:numPr>
          <w:ilvl w:val="1"/>
          <w:numId w:val="10"/>
        </w:numPr>
        <w:shd w:val="clear" w:color="auto" w:fill="FFFFFF"/>
        <w:rPr>
          <w:rFonts w:ascii="Times New Roman" w:eastAsia="Times New Roman" w:hAnsi="Times New Roman" w:cs="Times New Roman"/>
          <w:color w:val="000000" w:themeColor="text1"/>
        </w:rPr>
      </w:pPr>
      <w:r w:rsidRPr="000919CD">
        <w:rPr>
          <w:rFonts w:ascii="Times New Roman" w:eastAsia="Times New Roman" w:hAnsi="Times New Roman" w:cs="Times New Roman"/>
          <w:color w:val="000000" w:themeColor="text1"/>
        </w:rPr>
        <w:t>Studying programs to understand and enhance patterns of participation and advancement of underrepresented groups;</w:t>
      </w:r>
    </w:p>
    <w:p w14:paraId="61997D56" w14:textId="77777777" w:rsidR="000E2CBB" w:rsidRPr="000919CD" w:rsidRDefault="0037437F" w:rsidP="000E2CBB">
      <w:pPr>
        <w:numPr>
          <w:ilvl w:val="1"/>
          <w:numId w:val="10"/>
        </w:numPr>
        <w:shd w:val="clear" w:color="auto" w:fill="FFFFFF"/>
        <w:rPr>
          <w:rFonts w:ascii="Times New Roman" w:eastAsia="Times New Roman" w:hAnsi="Times New Roman" w:cs="Times New Roman"/>
          <w:color w:val="000000" w:themeColor="text1"/>
        </w:rPr>
      </w:pPr>
      <w:r w:rsidRPr="000919CD">
        <w:rPr>
          <w:rFonts w:ascii="Times New Roman" w:eastAsia="Times New Roman" w:hAnsi="Times New Roman" w:cs="Times New Roman"/>
          <w:color w:val="000000" w:themeColor="text1"/>
        </w:rPr>
        <w:t>Creating knowledge of diverse cultural and historic experiences, particularly in reference to underrepresented groups.</w:t>
      </w:r>
    </w:p>
    <w:p w14:paraId="77A7B527" w14:textId="77777777" w:rsidR="000E2CBB" w:rsidRPr="000919CD" w:rsidRDefault="000E2CBB" w:rsidP="000E2CBB">
      <w:pPr>
        <w:shd w:val="clear" w:color="auto" w:fill="FFFFFF"/>
        <w:ind w:left="216"/>
        <w:rPr>
          <w:rFonts w:ascii="Times New Roman" w:eastAsia="Times New Roman" w:hAnsi="Times New Roman" w:cs="Times New Roman"/>
          <w:b/>
          <w:bCs/>
          <w:i/>
          <w:iCs/>
          <w:color w:val="000000" w:themeColor="text1"/>
        </w:rPr>
      </w:pPr>
    </w:p>
    <w:p w14:paraId="2AB4E324" w14:textId="600496C8" w:rsidR="00A72B90" w:rsidRPr="000919CD" w:rsidRDefault="000E2CBB" w:rsidP="000919CD">
      <w:pPr>
        <w:shd w:val="clear" w:color="auto" w:fill="FFFFFF"/>
        <w:rPr>
          <w:rFonts w:ascii="Times New Roman" w:eastAsia="Times New Roman" w:hAnsi="Times New Roman" w:cs="Times New Roman"/>
          <w:color w:val="000000" w:themeColor="text1"/>
        </w:rPr>
      </w:pPr>
      <w:r w:rsidRPr="000919CD">
        <w:rPr>
          <w:rFonts w:ascii="Times New Roman" w:eastAsia="Times New Roman" w:hAnsi="Times New Roman" w:cs="Times New Roman"/>
          <w:b/>
          <w:bCs/>
          <w:i/>
          <w:iCs/>
          <w:color w:val="000000" w:themeColor="text1"/>
        </w:rPr>
        <w:t xml:space="preserve">Examples of </w:t>
      </w:r>
      <w:r w:rsidR="00A72B90" w:rsidRPr="000919CD">
        <w:rPr>
          <w:rFonts w:ascii="Times New Roman" w:eastAsia="Times New Roman" w:hAnsi="Times New Roman" w:cs="Times New Roman"/>
          <w:b/>
          <w:bCs/>
          <w:i/>
          <w:iCs/>
          <w:color w:val="000000" w:themeColor="text1"/>
          <w:bdr w:val="none" w:sz="0" w:space="0" w:color="auto" w:frame="1"/>
        </w:rPr>
        <w:t>Inclusive Excellence Activities Related to Service</w:t>
      </w:r>
      <w:r w:rsidR="00A72B90" w:rsidRPr="000919CD">
        <w:rPr>
          <w:rFonts w:ascii="Times New Roman" w:eastAsia="Times New Roman" w:hAnsi="Times New Roman" w:cs="Times New Roman"/>
          <w:b/>
          <w:bCs/>
          <w:i/>
          <w:iCs/>
          <w:color w:val="000000" w:themeColor="text1"/>
        </w:rPr>
        <w:br/>
      </w:r>
      <w:r w:rsidR="00A72B90" w:rsidRPr="000919CD">
        <w:rPr>
          <w:rFonts w:ascii="Times New Roman" w:eastAsia="Times New Roman" w:hAnsi="Times New Roman" w:cs="Times New Roman"/>
          <w:color w:val="000000" w:themeColor="text1"/>
        </w:rPr>
        <w:t>Describe your department, school, university and systemwide activities that promote diversity and equal opportunity for scholars and students from underrepresented groups. This could include but is not limited to:</w:t>
      </w:r>
    </w:p>
    <w:p w14:paraId="787A977E" w14:textId="77777777" w:rsidR="00A72B90" w:rsidRPr="000919CD" w:rsidRDefault="00A72B90" w:rsidP="000E2CBB">
      <w:pPr>
        <w:numPr>
          <w:ilvl w:val="2"/>
          <w:numId w:val="13"/>
        </w:numPr>
        <w:shd w:val="clear" w:color="auto" w:fill="FFFFFF"/>
        <w:ind w:left="576"/>
        <w:rPr>
          <w:rFonts w:ascii="Times New Roman" w:eastAsia="Times New Roman" w:hAnsi="Times New Roman" w:cs="Times New Roman"/>
          <w:color w:val="000000" w:themeColor="text1"/>
        </w:rPr>
      </w:pPr>
      <w:r w:rsidRPr="000919CD">
        <w:rPr>
          <w:rFonts w:ascii="Times New Roman" w:eastAsia="Times New Roman" w:hAnsi="Times New Roman" w:cs="Times New Roman"/>
          <w:color w:val="000000" w:themeColor="text1"/>
        </w:rPr>
        <w:t>Recruitment, retention, and/or mentoring of underrepresented students, faculty, or staff at the university or to the professoriate more generally;</w:t>
      </w:r>
    </w:p>
    <w:p w14:paraId="1212BE8D" w14:textId="77777777" w:rsidR="00A72B90" w:rsidRPr="000919CD" w:rsidRDefault="00A72B90" w:rsidP="000E2CBB">
      <w:pPr>
        <w:numPr>
          <w:ilvl w:val="2"/>
          <w:numId w:val="13"/>
        </w:numPr>
        <w:shd w:val="clear" w:color="auto" w:fill="FFFFFF"/>
        <w:ind w:left="576"/>
        <w:rPr>
          <w:rFonts w:ascii="Times New Roman" w:eastAsia="Times New Roman" w:hAnsi="Times New Roman" w:cs="Times New Roman"/>
          <w:color w:val="000000" w:themeColor="text1"/>
        </w:rPr>
      </w:pPr>
      <w:r w:rsidRPr="000919CD">
        <w:rPr>
          <w:rFonts w:ascii="Times New Roman" w:eastAsia="Times New Roman" w:hAnsi="Times New Roman" w:cs="Times New Roman"/>
          <w:color w:val="000000" w:themeColor="text1"/>
        </w:rPr>
        <w:t>Organization of, or engagement in, seminars, conferences or institutes that address concerns of underrepresented groups;</w:t>
      </w:r>
    </w:p>
    <w:p w14:paraId="7424F1C6" w14:textId="77777777" w:rsidR="00A72B90" w:rsidRPr="000919CD" w:rsidRDefault="00A72B90" w:rsidP="000E2CBB">
      <w:pPr>
        <w:numPr>
          <w:ilvl w:val="2"/>
          <w:numId w:val="13"/>
        </w:numPr>
        <w:shd w:val="clear" w:color="auto" w:fill="FFFFFF"/>
        <w:ind w:left="576"/>
        <w:rPr>
          <w:rFonts w:ascii="Times New Roman" w:eastAsia="Times New Roman" w:hAnsi="Times New Roman" w:cs="Times New Roman"/>
          <w:color w:val="000000" w:themeColor="text1"/>
        </w:rPr>
      </w:pPr>
      <w:r w:rsidRPr="000919CD">
        <w:rPr>
          <w:rFonts w:ascii="Times New Roman" w:eastAsia="Times New Roman" w:hAnsi="Times New Roman" w:cs="Times New Roman"/>
          <w:color w:val="000000" w:themeColor="text1"/>
        </w:rPr>
        <w:t>Service on committees directed at serving underrepresented communities and advancing inclusive excellence;</w:t>
      </w:r>
    </w:p>
    <w:p w14:paraId="485C2EDE" w14:textId="77777777" w:rsidR="00A72B90" w:rsidRPr="000919CD" w:rsidRDefault="00A72B90" w:rsidP="000E2CBB">
      <w:pPr>
        <w:numPr>
          <w:ilvl w:val="2"/>
          <w:numId w:val="13"/>
        </w:numPr>
        <w:shd w:val="clear" w:color="auto" w:fill="FFFFFF"/>
        <w:ind w:left="576"/>
        <w:rPr>
          <w:rFonts w:ascii="Times New Roman" w:eastAsia="Times New Roman" w:hAnsi="Times New Roman" w:cs="Times New Roman"/>
          <w:color w:val="000000" w:themeColor="text1"/>
        </w:rPr>
      </w:pPr>
      <w:r w:rsidRPr="000919CD">
        <w:rPr>
          <w:rFonts w:ascii="Times New Roman" w:eastAsia="Times New Roman" w:hAnsi="Times New Roman" w:cs="Times New Roman"/>
          <w:color w:val="000000" w:themeColor="text1"/>
        </w:rPr>
        <w:t>Presentations or performances for underrepresented communities;</w:t>
      </w:r>
    </w:p>
    <w:p w14:paraId="137ED0E5" w14:textId="77777777" w:rsidR="00A72B90" w:rsidRPr="000919CD" w:rsidRDefault="00A72B90" w:rsidP="000E2CBB">
      <w:pPr>
        <w:numPr>
          <w:ilvl w:val="2"/>
          <w:numId w:val="13"/>
        </w:numPr>
        <w:shd w:val="clear" w:color="auto" w:fill="FFFFFF"/>
        <w:ind w:left="576"/>
        <w:rPr>
          <w:rFonts w:ascii="Times New Roman" w:eastAsia="Times New Roman" w:hAnsi="Times New Roman" w:cs="Times New Roman"/>
          <w:color w:val="000000" w:themeColor="text1"/>
        </w:rPr>
      </w:pPr>
      <w:r w:rsidRPr="000919CD">
        <w:rPr>
          <w:rFonts w:ascii="Times New Roman" w:eastAsia="Times New Roman" w:hAnsi="Times New Roman" w:cs="Times New Roman"/>
          <w:color w:val="000000" w:themeColor="text1"/>
        </w:rPr>
        <w:t>Participation in programs aimed at increasing the pipeline of underrepresented groups entering higher education;</w:t>
      </w:r>
    </w:p>
    <w:p w14:paraId="0320974B" w14:textId="77777777" w:rsidR="00A72B90" w:rsidRPr="000919CD" w:rsidRDefault="00A72B90" w:rsidP="000E2CBB">
      <w:pPr>
        <w:numPr>
          <w:ilvl w:val="2"/>
          <w:numId w:val="13"/>
        </w:numPr>
        <w:shd w:val="clear" w:color="auto" w:fill="FFFFFF"/>
        <w:ind w:left="576"/>
        <w:rPr>
          <w:rFonts w:ascii="Times New Roman" w:eastAsia="Times New Roman" w:hAnsi="Times New Roman" w:cs="Times New Roman"/>
          <w:color w:val="000000" w:themeColor="text1"/>
        </w:rPr>
      </w:pPr>
      <w:r w:rsidRPr="000919CD">
        <w:rPr>
          <w:rFonts w:ascii="Times New Roman" w:eastAsia="Times New Roman" w:hAnsi="Times New Roman" w:cs="Times New Roman"/>
          <w:color w:val="000000" w:themeColor="text1"/>
        </w:rPr>
        <w:t>Public service activities and invitations to give talks within the field that address the needs of culturally diverse groups;</w:t>
      </w:r>
    </w:p>
    <w:p w14:paraId="1458D145" w14:textId="77777777" w:rsidR="00A72B90" w:rsidRPr="000919CD" w:rsidRDefault="00A72B90" w:rsidP="000E2CBB">
      <w:pPr>
        <w:numPr>
          <w:ilvl w:val="2"/>
          <w:numId w:val="13"/>
        </w:numPr>
        <w:shd w:val="clear" w:color="auto" w:fill="FFFFFF"/>
        <w:ind w:left="576"/>
        <w:rPr>
          <w:rFonts w:ascii="Times New Roman" w:eastAsia="Times New Roman" w:hAnsi="Times New Roman" w:cs="Times New Roman"/>
          <w:color w:val="000000" w:themeColor="text1"/>
        </w:rPr>
      </w:pPr>
      <w:r w:rsidRPr="000919CD">
        <w:rPr>
          <w:rFonts w:ascii="Times New Roman" w:eastAsia="Times New Roman" w:hAnsi="Times New Roman" w:cs="Times New Roman"/>
          <w:color w:val="000000" w:themeColor="text1"/>
        </w:rPr>
        <w:t>Awards and other forms of special recognition such as commendations from local or national groups or societies representing underserved communities.</w:t>
      </w:r>
    </w:p>
    <w:p w14:paraId="2E610050" w14:textId="77777777" w:rsidR="00A72B90" w:rsidRPr="000919CD" w:rsidRDefault="00A72B90" w:rsidP="000E2CBB">
      <w:pPr>
        <w:shd w:val="clear" w:color="auto" w:fill="FFFFFF"/>
        <w:rPr>
          <w:rFonts w:ascii="Times New Roman" w:eastAsia="Times New Roman" w:hAnsi="Times New Roman" w:cs="Times New Roman"/>
          <w:color w:val="000000" w:themeColor="text1"/>
        </w:rPr>
      </w:pPr>
    </w:p>
    <w:p w14:paraId="44A3E2BE" w14:textId="77777777" w:rsidR="0037437F" w:rsidRPr="000919CD" w:rsidRDefault="0037437F" w:rsidP="000E2CBB">
      <w:pPr>
        <w:rPr>
          <w:rFonts w:ascii="Times New Roman" w:hAnsi="Times New Roman" w:cs="Times New Roman"/>
          <w:color w:val="000000" w:themeColor="text1"/>
        </w:rPr>
      </w:pPr>
    </w:p>
    <w:sectPr w:rsidR="0037437F" w:rsidRPr="000919CD" w:rsidSect="008514E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D2EA4"/>
    <w:multiLevelType w:val="multilevel"/>
    <w:tmpl w:val="2618F042"/>
    <w:lvl w:ilvl="0">
      <w:start w:val="1"/>
      <w:numFmt w:val="decimal"/>
      <w:lvlText w:val="%1."/>
      <w:lvlJc w:val="left"/>
      <w:pPr>
        <w:tabs>
          <w:tab w:val="num" w:pos="-144"/>
        </w:tabs>
        <w:ind w:left="-144" w:hanging="360"/>
      </w:pPr>
    </w:lvl>
    <w:lvl w:ilvl="1">
      <w:start w:val="1"/>
      <w:numFmt w:val="bullet"/>
      <w:lvlText w:val=""/>
      <w:lvlJc w:val="left"/>
      <w:pPr>
        <w:ind w:left="576"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
      <w:lvlJc w:val="left"/>
      <w:pPr>
        <w:tabs>
          <w:tab w:val="num" w:pos="2016"/>
        </w:tabs>
        <w:ind w:left="2016" w:hanging="360"/>
      </w:pPr>
      <w:rPr>
        <w:rFonts w:ascii="Wingdings" w:hAnsi="Wingdings" w:hint="default"/>
        <w:sz w:val="20"/>
      </w:rPr>
    </w:lvl>
    <w:lvl w:ilvl="4" w:tentative="1">
      <w:start w:val="1"/>
      <w:numFmt w:val="decimal"/>
      <w:lvlText w:val="%5."/>
      <w:lvlJc w:val="left"/>
      <w:pPr>
        <w:tabs>
          <w:tab w:val="num" w:pos="2736"/>
        </w:tabs>
        <w:ind w:left="2736" w:hanging="360"/>
      </w:pPr>
    </w:lvl>
    <w:lvl w:ilvl="5" w:tentative="1">
      <w:start w:val="1"/>
      <w:numFmt w:val="decimal"/>
      <w:lvlText w:val="%6."/>
      <w:lvlJc w:val="left"/>
      <w:pPr>
        <w:tabs>
          <w:tab w:val="num" w:pos="3456"/>
        </w:tabs>
        <w:ind w:left="3456" w:hanging="360"/>
      </w:pPr>
    </w:lvl>
    <w:lvl w:ilvl="6" w:tentative="1">
      <w:start w:val="1"/>
      <w:numFmt w:val="decimal"/>
      <w:lvlText w:val="%7."/>
      <w:lvlJc w:val="left"/>
      <w:pPr>
        <w:tabs>
          <w:tab w:val="num" w:pos="4176"/>
        </w:tabs>
        <w:ind w:left="4176" w:hanging="360"/>
      </w:pPr>
    </w:lvl>
    <w:lvl w:ilvl="7" w:tentative="1">
      <w:start w:val="1"/>
      <w:numFmt w:val="decimal"/>
      <w:lvlText w:val="%8."/>
      <w:lvlJc w:val="left"/>
      <w:pPr>
        <w:tabs>
          <w:tab w:val="num" w:pos="4896"/>
        </w:tabs>
        <w:ind w:left="4896" w:hanging="360"/>
      </w:pPr>
    </w:lvl>
    <w:lvl w:ilvl="8" w:tentative="1">
      <w:start w:val="1"/>
      <w:numFmt w:val="decimal"/>
      <w:lvlText w:val="%9."/>
      <w:lvlJc w:val="left"/>
      <w:pPr>
        <w:tabs>
          <w:tab w:val="num" w:pos="5616"/>
        </w:tabs>
        <w:ind w:left="5616" w:hanging="360"/>
      </w:pPr>
    </w:lvl>
  </w:abstractNum>
  <w:abstractNum w:abstractNumId="1" w15:restartNumberingAfterBreak="0">
    <w:nsid w:val="0B39395F"/>
    <w:multiLevelType w:val="hybridMultilevel"/>
    <w:tmpl w:val="6FB04C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A410D"/>
    <w:multiLevelType w:val="hybridMultilevel"/>
    <w:tmpl w:val="E696BBDC"/>
    <w:lvl w:ilvl="0" w:tplc="D85284B8">
      <w:start w:val="1"/>
      <w:numFmt w:val="upperLetter"/>
      <w:lvlText w:val="%1."/>
      <w:lvlJc w:val="left"/>
      <w:pPr>
        <w:ind w:left="360" w:hanging="360"/>
      </w:pPr>
      <w:rPr>
        <w:rFonts w:ascii="Times New Roman" w:eastAsia="Times New Roman" w:hAnsi="Times New Roman" w:cs="Times New Roman"/>
      </w:rPr>
    </w:lvl>
    <w:lvl w:ilvl="1" w:tplc="04090003">
      <w:start w:val="1"/>
      <w:numFmt w:val="bullet"/>
      <w:lvlText w:val="o"/>
      <w:lvlJc w:val="left"/>
      <w:pPr>
        <w:ind w:left="1170" w:hanging="360"/>
      </w:pPr>
      <w:rPr>
        <w:rFonts w:ascii="Courier New" w:hAnsi="Courier New" w:cs="Courier New" w:hint="default"/>
      </w:rPr>
    </w:lvl>
    <w:lvl w:ilvl="2" w:tplc="0409000F">
      <w:start w:val="1"/>
      <w:numFmt w:val="decimal"/>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F43FF4"/>
    <w:multiLevelType w:val="hybridMultilevel"/>
    <w:tmpl w:val="8D800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7604D"/>
    <w:multiLevelType w:val="multilevel"/>
    <w:tmpl w:val="2618F042"/>
    <w:lvl w:ilvl="0">
      <w:start w:val="1"/>
      <w:numFmt w:val="decimal"/>
      <w:lvlText w:val="%1."/>
      <w:lvlJc w:val="left"/>
      <w:pPr>
        <w:tabs>
          <w:tab w:val="num" w:pos="-144"/>
        </w:tabs>
        <w:ind w:left="-144" w:hanging="360"/>
      </w:pPr>
    </w:lvl>
    <w:lvl w:ilvl="1">
      <w:start w:val="1"/>
      <w:numFmt w:val="bullet"/>
      <w:lvlText w:val=""/>
      <w:lvlJc w:val="left"/>
      <w:pPr>
        <w:ind w:left="576"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
      <w:lvlJc w:val="left"/>
      <w:pPr>
        <w:tabs>
          <w:tab w:val="num" w:pos="2016"/>
        </w:tabs>
        <w:ind w:left="2016" w:hanging="360"/>
      </w:pPr>
      <w:rPr>
        <w:rFonts w:ascii="Wingdings" w:hAnsi="Wingdings" w:hint="default"/>
        <w:sz w:val="20"/>
      </w:rPr>
    </w:lvl>
    <w:lvl w:ilvl="4" w:tentative="1">
      <w:start w:val="1"/>
      <w:numFmt w:val="decimal"/>
      <w:lvlText w:val="%5."/>
      <w:lvlJc w:val="left"/>
      <w:pPr>
        <w:tabs>
          <w:tab w:val="num" w:pos="2736"/>
        </w:tabs>
        <w:ind w:left="2736" w:hanging="360"/>
      </w:pPr>
    </w:lvl>
    <w:lvl w:ilvl="5" w:tentative="1">
      <w:start w:val="1"/>
      <w:numFmt w:val="decimal"/>
      <w:lvlText w:val="%6."/>
      <w:lvlJc w:val="left"/>
      <w:pPr>
        <w:tabs>
          <w:tab w:val="num" w:pos="3456"/>
        </w:tabs>
        <w:ind w:left="3456" w:hanging="360"/>
      </w:pPr>
    </w:lvl>
    <w:lvl w:ilvl="6" w:tentative="1">
      <w:start w:val="1"/>
      <w:numFmt w:val="decimal"/>
      <w:lvlText w:val="%7."/>
      <w:lvlJc w:val="left"/>
      <w:pPr>
        <w:tabs>
          <w:tab w:val="num" w:pos="4176"/>
        </w:tabs>
        <w:ind w:left="4176" w:hanging="360"/>
      </w:pPr>
    </w:lvl>
    <w:lvl w:ilvl="7" w:tentative="1">
      <w:start w:val="1"/>
      <w:numFmt w:val="decimal"/>
      <w:lvlText w:val="%8."/>
      <w:lvlJc w:val="left"/>
      <w:pPr>
        <w:tabs>
          <w:tab w:val="num" w:pos="4896"/>
        </w:tabs>
        <w:ind w:left="4896" w:hanging="360"/>
      </w:pPr>
    </w:lvl>
    <w:lvl w:ilvl="8" w:tentative="1">
      <w:start w:val="1"/>
      <w:numFmt w:val="decimal"/>
      <w:lvlText w:val="%9."/>
      <w:lvlJc w:val="left"/>
      <w:pPr>
        <w:tabs>
          <w:tab w:val="num" w:pos="5616"/>
        </w:tabs>
        <w:ind w:left="5616" w:hanging="360"/>
      </w:pPr>
    </w:lvl>
  </w:abstractNum>
  <w:abstractNum w:abstractNumId="5" w15:restartNumberingAfterBreak="0">
    <w:nsid w:val="21F55DDF"/>
    <w:multiLevelType w:val="hybridMultilevel"/>
    <w:tmpl w:val="994694B2"/>
    <w:lvl w:ilvl="0" w:tplc="B2B8C62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22EE470D"/>
    <w:multiLevelType w:val="multilevel"/>
    <w:tmpl w:val="2618F042"/>
    <w:lvl w:ilvl="0">
      <w:start w:val="1"/>
      <w:numFmt w:val="decimal"/>
      <w:lvlText w:val="%1."/>
      <w:lvlJc w:val="left"/>
      <w:pPr>
        <w:tabs>
          <w:tab w:val="num" w:pos="-144"/>
        </w:tabs>
        <w:ind w:left="-144" w:hanging="360"/>
      </w:pPr>
    </w:lvl>
    <w:lvl w:ilvl="1">
      <w:start w:val="1"/>
      <w:numFmt w:val="bullet"/>
      <w:lvlText w:val=""/>
      <w:lvlJc w:val="left"/>
      <w:pPr>
        <w:ind w:left="576"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
      <w:lvlJc w:val="left"/>
      <w:pPr>
        <w:tabs>
          <w:tab w:val="num" w:pos="2016"/>
        </w:tabs>
        <w:ind w:left="2016" w:hanging="360"/>
      </w:pPr>
      <w:rPr>
        <w:rFonts w:ascii="Wingdings" w:hAnsi="Wingdings" w:hint="default"/>
        <w:sz w:val="20"/>
      </w:rPr>
    </w:lvl>
    <w:lvl w:ilvl="4" w:tentative="1">
      <w:start w:val="1"/>
      <w:numFmt w:val="decimal"/>
      <w:lvlText w:val="%5."/>
      <w:lvlJc w:val="left"/>
      <w:pPr>
        <w:tabs>
          <w:tab w:val="num" w:pos="2736"/>
        </w:tabs>
        <w:ind w:left="2736" w:hanging="360"/>
      </w:pPr>
    </w:lvl>
    <w:lvl w:ilvl="5" w:tentative="1">
      <w:start w:val="1"/>
      <w:numFmt w:val="decimal"/>
      <w:lvlText w:val="%6."/>
      <w:lvlJc w:val="left"/>
      <w:pPr>
        <w:tabs>
          <w:tab w:val="num" w:pos="3456"/>
        </w:tabs>
        <w:ind w:left="3456" w:hanging="360"/>
      </w:pPr>
    </w:lvl>
    <w:lvl w:ilvl="6" w:tentative="1">
      <w:start w:val="1"/>
      <w:numFmt w:val="decimal"/>
      <w:lvlText w:val="%7."/>
      <w:lvlJc w:val="left"/>
      <w:pPr>
        <w:tabs>
          <w:tab w:val="num" w:pos="4176"/>
        </w:tabs>
        <w:ind w:left="4176" w:hanging="360"/>
      </w:pPr>
    </w:lvl>
    <w:lvl w:ilvl="7" w:tentative="1">
      <w:start w:val="1"/>
      <w:numFmt w:val="decimal"/>
      <w:lvlText w:val="%8."/>
      <w:lvlJc w:val="left"/>
      <w:pPr>
        <w:tabs>
          <w:tab w:val="num" w:pos="4896"/>
        </w:tabs>
        <w:ind w:left="4896" w:hanging="360"/>
      </w:pPr>
    </w:lvl>
    <w:lvl w:ilvl="8" w:tentative="1">
      <w:start w:val="1"/>
      <w:numFmt w:val="decimal"/>
      <w:lvlText w:val="%9."/>
      <w:lvlJc w:val="left"/>
      <w:pPr>
        <w:tabs>
          <w:tab w:val="num" w:pos="5616"/>
        </w:tabs>
        <w:ind w:left="5616" w:hanging="360"/>
      </w:pPr>
    </w:lvl>
  </w:abstractNum>
  <w:abstractNum w:abstractNumId="7" w15:restartNumberingAfterBreak="0">
    <w:nsid w:val="230F37A4"/>
    <w:multiLevelType w:val="hybridMultilevel"/>
    <w:tmpl w:val="93CA2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77E62"/>
    <w:multiLevelType w:val="multilevel"/>
    <w:tmpl w:val="2618F042"/>
    <w:lvl w:ilvl="0">
      <w:start w:val="1"/>
      <w:numFmt w:val="decimal"/>
      <w:lvlText w:val="%1."/>
      <w:lvlJc w:val="left"/>
      <w:pPr>
        <w:tabs>
          <w:tab w:val="num" w:pos="-144"/>
        </w:tabs>
        <w:ind w:left="-144" w:hanging="360"/>
      </w:pPr>
    </w:lvl>
    <w:lvl w:ilvl="1">
      <w:start w:val="1"/>
      <w:numFmt w:val="bullet"/>
      <w:lvlText w:val=""/>
      <w:lvlJc w:val="left"/>
      <w:pPr>
        <w:ind w:left="576"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
      <w:lvlJc w:val="left"/>
      <w:pPr>
        <w:tabs>
          <w:tab w:val="num" w:pos="2016"/>
        </w:tabs>
        <w:ind w:left="2016" w:hanging="360"/>
      </w:pPr>
      <w:rPr>
        <w:rFonts w:ascii="Wingdings" w:hAnsi="Wingdings" w:hint="default"/>
        <w:sz w:val="20"/>
      </w:rPr>
    </w:lvl>
    <w:lvl w:ilvl="4" w:tentative="1">
      <w:start w:val="1"/>
      <w:numFmt w:val="decimal"/>
      <w:lvlText w:val="%5."/>
      <w:lvlJc w:val="left"/>
      <w:pPr>
        <w:tabs>
          <w:tab w:val="num" w:pos="2736"/>
        </w:tabs>
        <w:ind w:left="2736" w:hanging="360"/>
      </w:pPr>
    </w:lvl>
    <w:lvl w:ilvl="5" w:tentative="1">
      <w:start w:val="1"/>
      <w:numFmt w:val="decimal"/>
      <w:lvlText w:val="%6."/>
      <w:lvlJc w:val="left"/>
      <w:pPr>
        <w:tabs>
          <w:tab w:val="num" w:pos="3456"/>
        </w:tabs>
        <w:ind w:left="3456" w:hanging="360"/>
      </w:pPr>
    </w:lvl>
    <w:lvl w:ilvl="6" w:tentative="1">
      <w:start w:val="1"/>
      <w:numFmt w:val="decimal"/>
      <w:lvlText w:val="%7."/>
      <w:lvlJc w:val="left"/>
      <w:pPr>
        <w:tabs>
          <w:tab w:val="num" w:pos="4176"/>
        </w:tabs>
        <w:ind w:left="4176" w:hanging="360"/>
      </w:pPr>
    </w:lvl>
    <w:lvl w:ilvl="7" w:tentative="1">
      <w:start w:val="1"/>
      <w:numFmt w:val="decimal"/>
      <w:lvlText w:val="%8."/>
      <w:lvlJc w:val="left"/>
      <w:pPr>
        <w:tabs>
          <w:tab w:val="num" w:pos="4896"/>
        </w:tabs>
        <w:ind w:left="4896" w:hanging="360"/>
      </w:pPr>
    </w:lvl>
    <w:lvl w:ilvl="8" w:tentative="1">
      <w:start w:val="1"/>
      <w:numFmt w:val="decimal"/>
      <w:lvlText w:val="%9."/>
      <w:lvlJc w:val="left"/>
      <w:pPr>
        <w:tabs>
          <w:tab w:val="num" w:pos="5616"/>
        </w:tabs>
        <w:ind w:left="5616" w:hanging="360"/>
      </w:pPr>
    </w:lvl>
  </w:abstractNum>
  <w:abstractNum w:abstractNumId="9" w15:restartNumberingAfterBreak="0">
    <w:nsid w:val="28157AB7"/>
    <w:multiLevelType w:val="hybridMultilevel"/>
    <w:tmpl w:val="F7C4AF62"/>
    <w:lvl w:ilvl="0" w:tplc="9D4AC270">
      <w:start w:val="1"/>
      <w:numFmt w:val="decimal"/>
      <w:lvlText w:val="(%1)"/>
      <w:lvlJc w:val="left"/>
      <w:pPr>
        <w:ind w:left="440" w:hanging="360"/>
      </w:pPr>
      <w:rPr>
        <w:rFonts w:hint="default"/>
        <w:u w:val="singl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0" w15:restartNumberingAfterBreak="0">
    <w:nsid w:val="35EA084E"/>
    <w:multiLevelType w:val="multilevel"/>
    <w:tmpl w:val="70B2EE9C"/>
    <w:lvl w:ilvl="0">
      <w:start w:val="1"/>
      <w:numFmt w:val="decimal"/>
      <w:lvlText w:val="%1."/>
      <w:lvlJc w:val="left"/>
      <w:pPr>
        <w:tabs>
          <w:tab w:val="num" w:pos="-144"/>
        </w:tabs>
        <w:ind w:left="-144" w:hanging="360"/>
      </w:pPr>
    </w:lvl>
    <w:lvl w:ilvl="1">
      <w:start w:val="1"/>
      <w:numFmt w:val="lowerLetter"/>
      <w:lvlText w:val="%2."/>
      <w:lvlJc w:val="left"/>
      <w:pPr>
        <w:tabs>
          <w:tab w:val="num" w:pos="576"/>
        </w:tabs>
        <w:ind w:left="576" w:hanging="360"/>
      </w:pPr>
    </w:lvl>
    <w:lvl w:ilvl="2">
      <w:start w:val="1"/>
      <w:numFmt w:val="lowerLetter"/>
      <w:lvlText w:val="%3."/>
      <w:lvlJc w:val="left"/>
      <w:pPr>
        <w:tabs>
          <w:tab w:val="num" w:pos="1296"/>
        </w:tabs>
        <w:ind w:left="1296" w:hanging="360"/>
      </w:pPr>
    </w:lvl>
    <w:lvl w:ilvl="3">
      <w:start w:val="1"/>
      <w:numFmt w:val="bullet"/>
      <w:lvlText w:val=""/>
      <w:lvlJc w:val="left"/>
      <w:pPr>
        <w:tabs>
          <w:tab w:val="num" w:pos="2016"/>
        </w:tabs>
        <w:ind w:left="2016" w:hanging="360"/>
      </w:pPr>
      <w:rPr>
        <w:rFonts w:ascii="Wingdings" w:hAnsi="Wingdings" w:hint="default"/>
        <w:sz w:val="20"/>
      </w:rPr>
    </w:lvl>
    <w:lvl w:ilvl="4" w:tentative="1">
      <w:start w:val="1"/>
      <w:numFmt w:val="decimal"/>
      <w:lvlText w:val="%5."/>
      <w:lvlJc w:val="left"/>
      <w:pPr>
        <w:tabs>
          <w:tab w:val="num" w:pos="2736"/>
        </w:tabs>
        <w:ind w:left="2736" w:hanging="360"/>
      </w:pPr>
    </w:lvl>
    <w:lvl w:ilvl="5" w:tentative="1">
      <w:start w:val="1"/>
      <w:numFmt w:val="decimal"/>
      <w:lvlText w:val="%6."/>
      <w:lvlJc w:val="left"/>
      <w:pPr>
        <w:tabs>
          <w:tab w:val="num" w:pos="3456"/>
        </w:tabs>
        <w:ind w:left="3456" w:hanging="360"/>
      </w:pPr>
    </w:lvl>
    <w:lvl w:ilvl="6" w:tentative="1">
      <w:start w:val="1"/>
      <w:numFmt w:val="decimal"/>
      <w:lvlText w:val="%7."/>
      <w:lvlJc w:val="left"/>
      <w:pPr>
        <w:tabs>
          <w:tab w:val="num" w:pos="4176"/>
        </w:tabs>
        <w:ind w:left="4176" w:hanging="360"/>
      </w:pPr>
    </w:lvl>
    <w:lvl w:ilvl="7" w:tentative="1">
      <w:start w:val="1"/>
      <w:numFmt w:val="decimal"/>
      <w:lvlText w:val="%8."/>
      <w:lvlJc w:val="left"/>
      <w:pPr>
        <w:tabs>
          <w:tab w:val="num" w:pos="4896"/>
        </w:tabs>
        <w:ind w:left="4896" w:hanging="360"/>
      </w:pPr>
    </w:lvl>
    <w:lvl w:ilvl="8" w:tentative="1">
      <w:start w:val="1"/>
      <w:numFmt w:val="decimal"/>
      <w:lvlText w:val="%9."/>
      <w:lvlJc w:val="left"/>
      <w:pPr>
        <w:tabs>
          <w:tab w:val="num" w:pos="5616"/>
        </w:tabs>
        <w:ind w:left="5616" w:hanging="360"/>
      </w:pPr>
    </w:lvl>
  </w:abstractNum>
  <w:abstractNum w:abstractNumId="11" w15:restartNumberingAfterBreak="0">
    <w:nsid w:val="42394199"/>
    <w:multiLevelType w:val="hybridMultilevel"/>
    <w:tmpl w:val="4E324412"/>
    <w:lvl w:ilvl="0" w:tplc="43EAD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341442"/>
    <w:multiLevelType w:val="hybridMultilevel"/>
    <w:tmpl w:val="9692E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1A2701"/>
    <w:multiLevelType w:val="hybridMultilevel"/>
    <w:tmpl w:val="00FC0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6A7985"/>
    <w:multiLevelType w:val="hybridMultilevel"/>
    <w:tmpl w:val="47446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4438FE"/>
    <w:multiLevelType w:val="hybridMultilevel"/>
    <w:tmpl w:val="F3660FF0"/>
    <w:lvl w:ilvl="0" w:tplc="B590D174">
      <w:start w:val="1"/>
      <w:numFmt w:val="upperLetter"/>
      <w:lvlText w:val="%1."/>
      <w:lvlJc w:val="left"/>
      <w:pPr>
        <w:ind w:left="440" w:hanging="360"/>
      </w:pPr>
      <w:rPr>
        <w:rFonts w:hint="default"/>
        <w:color w:val="FF0000"/>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6" w15:restartNumberingAfterBreak="0">
    <w:nsid w:val="6B1C6E07"/>
    <w:multiLevelType w:val="multilevel"/>
    <w:tmpl w:val="2618F042"/>
    <w:lvl w:ilvl="0">
      <w:start w:val="1"/>
      <w:numFmt w:val="decimal"/>
      <w:lvlText w:val="%1."/>
      <w:lvlJc w:val="left"/>
      <w:pPr>
        <w:tabs>
          <w:tab w:val="num" w:pos="-144"/>
        </w:tabs>
        <w:ind w:left="-144" w:hanging="360"/>
      </w:pPr>
    </w:lvl>
    <w:lvl w:ilvl="1">
      <w:start w:val="1"/>
      <w:numFmt w:val="bullet"/>
      <w:lvlText w:val=""/>
      <w:lvlJc w:val="left"/>
      <w:pPr>
        <w:ind w:left="576"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
      <w:lvlJc w:val="left"/>
      <w:pPr>
        <w:tabs>
          <w:tab w:val="num" w:pos="2016"/>
        </w:tabs>
        <w:ind w:left="2016" w:hanging="360"/>
      </w:pPr>
      <w:rPr>
        <w:rFonts w:ascii="Wingdings" w:hAnsi="Wingdings" w:hint="default"/>
        <w:sz w:val="20"/>
      </w:rPr>
    </w:lvl>
    <w:lvl w:ilvl="4" w:tentative="1">
      <w:start w:val="1"/>
      <w:numFmt w:val="decimal"/>
      <w:lvlText w:val="%5."/>
      <w:lvlJc w:val="left"/>
      <w:pPr>
        <w:tabs>
          <w:tab w:val="num" w:pos="2736"/>
        </w:tabs>
        <w:ind w:left="2736" w:hanging="360"/>
      </w:pPr>
    </w:lvl>
    <w:lvl w:ilvl="5" w:tentative="1">
      <w:start w:val="1"/>
      <w:numFmt w:val="decimal"/>
      <w:lvlText w:val="%6."/>
      <w:lvlJc w:val="left"/>
      <w:pPr>
        <w:tabs>
          <w:tab w:val="num" w:pos="3456"/>
        </w:tabs>
        <w:ind w:left="3456" w:hanging="360"/>
      </w:pPr>
    </w:lvl>
    <w:lvl w:ilvl="6" w:tentative="1">
      <w:start w:val="1"/>
      <w:numFmt w:val="decimal"/>
      <w:lvlText w:val="%7."/>
      <w:lvlJc w:val="left"/>
      <w:pPr>
        <w:tabs>
          <w:tab w:val="num" w:pos="4176"/>
        </w:tabs>
        <w:ind w:left="4176" w:hanging="360"/>
      </w:pPr>
    </w:lvl>
    <w:lvl w:ilvl="7" w:tentative="1">
      <w:start w:val="1"/>
      <w:numFmt w:val="decimal"/>
      <w:lvlText w:val="%8."/>
      <w:lvlJc w:val="left"/>
      <w:pPr>
        <w:tabs>
          <w:tab w:val="num" w:pos="4896"/>
        </w:tabs>
        <w:ind w:left="4896" w:hanging="360"/>
      </w:pPr>
    </w:lvl>
    <w:lvl w:ilvl="8" w:tentative="1">
      <w:start w:val="1"/>
      <w:numFmt w:val="decimal"/>
      <w:lvlText w:val="%9."/>
      <w:lvlJc w:val="left"/>
      <w:pPr>
        <w:tabs>
          <w:tab w:val="num" w:pos="5616"/>
        </w:tabs>
        <w:ind w:left="5616" w:hanging="360"/>
      </w:pPr>
    </w:lvl>
  </w:abstractNum>
  <w:abstractNum w:abstractNumId="17" w15:restartNumberingAfterBreak="0">
    <w:nsid w:val="77012500"/>
    <w:multiLevelType w:val="hybridMultilevel"/>
    <w:tmpl w:val="75B62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134113"/>
    <w:multiLevelType w:val="hybridMultilevel"/>
    <w:tmpl w:val="593A5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F">
      <w:start w:val="1"/>
      <w:numFmt w:val="decimal"/>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7"/>
  </w:num>
  <w:num w:numId="3">
    <w:abstractNumId w:val="12"/>
  </w:num>
  <w:num w:numId="4">
    <w:abstractNumId w:val="17"/>
  </w:num>
  <w:num w:numId="5">
    <w:abstractNumId w:val="3"/>
  </w:num>
  <w:num w:numId="6">
    <w:abstractNumId w:val="11"/>
  </w:num>
  <w:num w:numId="7">
    <w:abstractNumId w:val="2"/>
  </w:num>
  <w:num w:numId="8">
    <w:abstractNumId w:val="1"/>
  </w:num>
  <w:num w:numId="9">
    <w:abstractNumId w:val="13"/>
  </w:num>
  <w:num w:numId="10">
    <w:abstractNumId w:val="6"/>
  </w:num>
  <w:num w:numId="11">
    <w:abstractNumId w:val="10"/>
  </w:num>
  <w:num w:numId="12">
    <w:abstractNumId w:val="10"/>
  </w:num>
  <w:num w:numId="13">
    <w:abstractNumId w:val="0"/>
  </w:num>
  <w:num w:numId="14">
    <w:abstractNumId w:val="4"/>
  </w:num>
  <w:num w:numId="15">
    <w:abstractNumId w:val="8"/>
  </w:num>
  <w:num w:numId="16">
    <w:abstractNumId w:val="16"/>
  </w:num>
  <w:num w:numId="17">
    <w:abstractNumId w:val="9"/>
  </w:num>
  <w:num w:numId="18">
    <w:abstractNumId w:val="15"/>
  </w:num>
  <w:num w:numId="19">
    <w:abstractNumId w:val="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E4F"/>
    <w:rsid w:val="00031845"/>
    <w:rsid w:val="000377B9"/>
    <w:rsid w:val="00077A8A"/>
    <w:rsid w:val="000919CD"/>
    <w:rsid w:val="000B4A52"/>
    <w:rsid w:val="000E2CBB"/>
    <w:rsid w:val="001607C2"/>
    <w:rsid w:val="001830D3"/>
    <w:rsid w:val="001E2486"/>
    <w:rsid w:val="001E2586"/>
    <w:rsid w:val="001E50DF"/>
    <w:rsid w:val="001F49A3"/>
    <w:rsid w:val="00224FAD"/>
    <w:rsid w:val="00227266"/>
    <w:rsid w:val="00232CA2"/>
    <w:rsid w:val="00232E1D"/>
    <w:rsid w:val="002A1153"/>
    <w:rsid w:val="002D40D7"/>
    <w:rsid w:val="002F1609"/>
    <w:rsid w:val="00304C37"/>
    <w:rsid w:val="00306143"/>
    <w:rsid w:val="00371837"/>
    <w:rsid w:val="00372E4F"/>
    <w:rsid w:val="0037437F"/>
    <w:rsid w:val="00374F1C"/>
    <w:rsid w:val="003D196C"/>
    <w:rsid w:val="003F5ADC"/>
    <w:rsid w:val="0041672E"/>
    <w:rsid w:val="00447B9C"/>
    <w:rsid w:val="00491A9D"/>
    <w:rsid w:val="004B272F"/>
    <w:rsid w:val="004E214C"/>
    <w:rsid w:val="00546E7E"/>
    <w:rsid w:val="005551EE"/>
    <w:rsid w:val="005A1961"/>
    <w:rsid w:val="005B5EB9"/>
    <w:rsid w:val="00617EE6"/>
    <w:rsid w:val="00680604"/>
    <w:rsid w:val="0069182F"/>
    <w:rsid w:val="006B67FD"/>
    <w:rsid w:val="006D59FC"/>
    <w:rsid w:val="006F32DE"/>
    <w:rsid w:val="007022A8"/>
    <w:rsid w:val="0071563C"/>
    <w:rsid w:val="0074476B"/>
    <w:rsid w:val="007A405D"/>
    <w:rsid w:val="007B5BD3"/>
    <w:rsid w:val="00802A68"/>
    <w:rsid w:val="0082241B"/>
    <w:rsid w:val="008514E2"/>
    <w:rsid w:val="008570E9"/>
    <w:rsid w:val="00881E73"/>
    <w:rsid w:val="008843DB"/>
    <w:rsid w:val="009406DF"/>
    <w:rsid w:val="0095019C"/>
    <w:rsid w:val="00961D4F"/>
    <w:rsid w:val="00977508"/>
    <w:rsid w:val="009825B1"/>
    <w:rsid w:val="00984BB5"/>
    <w:rsid w:val="00987C1C"/>
    <w:rsid w:val="009E22C7"/>
    <w:rsid w:val="00A03D17"/>
    <w:rsid w:val="00A27B2D"/>
    <w:rsid w:val="00A3253B"/>
    <w:rsid w:val="00A520A7"/>
    <w:rsid w:val="00A72B90"/>
    <w:rsid w:val="00A82BF8"/>
    <w:rsid w:val="00AD4113"/>
    <w:rsid w:val="00B6112A"/>
    <w:rsid w:val="00B80B75"/>
    <w:rsid w:val="00BA1EBC"/>
    <w:rsid w:val="00C21EB8"/>
    <w:rsid w:val="00C27555"/>
    <w:rsid w:val="00C44E0A"/>
    <w:rsid w:val="00CA2DD7"/>
    <w:rsid w:val="00CB2840"/>
    <w:rsid w:val="00CD205B"/>
    <w:rsid w:val="00CE2BA3"/>
    <w:rsid w:val="00CF0F02"/>
    <w:rsid w:val="00CF6B3B"/>
    <w:rsid w:val="00D33B45"/>
    <w:rsid w:val="00D44002"/>
    <w:rsid w:val="00D5489C"/>
    <w:rsid w:val="00D71264"/>
    <w:rsid w:val="00D82F4A"/>
    <w:rsid w:val="00DC0098"/>
    <w:rsid w:val="00E04CC5"/>
    <w:rsid w:val="00E21655"/>
    <w:rsid w:val="00E31FD7"/>
    <w:rsid w:val="00E97D9B"/>
    <w:rsid w:val="00EA233D"/>
    <w:rsid w:val="00ED7377"/>
    <w:rsid w:val="00EE3CF2"/>
    <w:rsid w:val="00F12A07"/>
    <w:rsid w:val="00F14BD5"/>
    <w:rsid w:val="00F67DA2"/>
    <w:rsid w:val="00F8172C"/>
    <w:rsid w:val="00F87A78"/>
    <w:rsid w:val="00F9041C"/>
    <w:rsid w:val="00FB734D"/>
    <w:rsid w:val="00FC3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CA778F"/>
  <w14:defaultImageDpi w14:val="300"/>
  <w15:docId w15:val="{BB562EB7-8BCB-4E62-9A40-7B82DD88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7FD"/>
    <w:pPr>
      <w:ind w:left="720"/>
      <w:contextualSpacing/>
    </w:pPr>
    <w:rPr>
      <w:rFonts w:ascii="Times New Roman" w:hAnsi="Times New Roman" w:cs="Arial"/>
      <w:lang w:eastAsia="ja-JP"/>
    </w:rPr>
  </w:style>
  <w:style w:type="paragraph" w:styleId="BalloonText">
    <w:name w:val="Balloon Text"/>
    <w:basedOn w:val="Normal"/>
    <w:link w:val="BalloonTextChar"/>
    <w:uiPriority w:val="99"/>
    <w:semiHidden/>
    <w:unhideWhenUsed/>
    <w:rsid w:val="00D712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1264"/>
    <w:rPr>
      <w:rFonts w:ascii="Lucida Grande" w:hAnsi="Lucida Grande" w:cs="Lucida Grande"/>
      <w:sz w:val="18"/>
      <w:szCs w:val="18"/>
    </w:rPr>
  </w:style>
  <w:style w:type="paragraph" w:styleId="Revision">
    <w:name w:val="Revision"/>
    <w:hidden/>
    <w:uiPriority w:val="99"/>
    <w:semiHidden/>
    <w:rsid w:val="00A27B2D"/>
  </w:style>
  <w:style w:type="paragraph" w:customStyle="1" w:styleId="default">
    <w:name w:val="default"/>
    <w:basedOn w:val="Normal"/>
    <w:rsid w:val="00D5489C"/>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37437F"/>
    <w:rPr>
      <w:rFonts w:ascii="Arial" w:eastAsiaTheme="minorHAnsi" w:hAnsi="Arial" w:cs="Arial"/>
      <w:sz w:val="20"/>
      <w:szCs w:val="20"/>
    </w:rPr>
  </w:style>
  <w:style w:type="character" w:customStyle="1" w:styleId="CommentTextChar">
    <w:name w:val="Comment Text Char"/>
    <w:basedOn w:val="DefaultParagraphFont"/>
    <w:link w:val="CommentText"/>
    <w:uiPriority w:val="99"/>
    <w:rsid w:val="0037437F"/>
    <w:rPr>
      <w:rFonts w:ascii="Arial" w:eastAsiaTheme="minorHAnsi" w:hAnsi="Arial" w:cs="Arial"/>
      <w:sz w:val="20"/>
      <w:szCs w:val="20"/>
    </w:rPr>
  </w:style>
  <w:style w:type="character" w:styleId="Strong">
    <w:name w:val="Strong"/>
    <w:basedOn w:val="DefaultParagraphFont"/>
    <w:uiPriority w:val="22"/>
    <w:qFormat/>
    <w:rsid w:val="00A72B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946768">
      <w:bodyDiv w:val="1"/>
      <w:marLeft w:val="0"/>
      <w:marRight w:val="0"/>
      <w:marTop w:val="0"/>
      <w:marBottom w:val="0"/>
      <w:divBdr>
        <w:top w:val="none" w:sz="0" w:space="0" w:color="auto"/>
        <w:left w:val="none" w:sz="0" w:space="0" w:color="auto"/>
        <w:bottom w:val="none" w:sz="0" w:space="0" w:color="auto"/>
        <w:right w:val="none" w:sz="0" w:space="0" w:color="auto"/>
      </w:divBdr>
    </w:div>
    <w:div w:id="932591074">
      <w:bodyDiv w:val="1"/>
      <w:marLeft w:val="0"/>
      <w:marRight w:val="0"/>
      <w:marTop w:val="0"/>
      <w:marBottom w:val="0"/>
      <w:divBdr>
        <w:top w:val="none" w:sz="0" w:space="0" w:color="auto"/>
        <w:left w:val="none" w:sz="0" w:space="0" w:color="auto"/>
        <w:bottom w:val="none" w:sz="0" w:space="0" w:color="auto"/>
        <w:right w:val="none" w:sz="0" w:space="0" w:color="auto"/>
      </w:divBdr>
    </w:div>
    <w:div w:id="1142845896">
      <w:bodyDiv w:val="1"/>
      <w:marLeft w:val="0"/>
      <w:marRight w:val="0"/>
      <w:marTop w:val="0"/>
      <w:marBottom w:val="0"/>
      <w:divBdr>
        <w:top w:val="none" w:sz="0" w:space="0" w:color="auto"/>
        <w:left w:val="none" w:sz="0" w:space="0" w:color="auto"/>
        <w:bottom w:val="none" w:sz="0" w:space="0" w:color="auto"/>
        <w:right w:val="none" w:sz="0" w:space="0" w:color="auto"/>
      </w:divBdr>
    </w:div>
    <w:div w:id="13988232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1528</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UC Irvine</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Janda</dc:creator>
  <cp:keywords/>
  <dc:description/>
  <cp:lastModifiedBy>Karina Cramer</cp:lastModifiedBy>
  <cp:revision>2</cp:revision>
  <cp:lastPrinted>2014-11-19T17:49:00Z</cp:lastPrinted>
  <dcterms:created xsi:type="dcterms:W3CDTF">2022-11-19T19:18:00Z</dcterms:created>
  <dcterms:modified xsi:type="dcterms:W3CDTF">2022-11-19T19:18:00Z</dcterms:modified>
</cp:coreProperties>
</file>